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Times New Roman" w:hAnsi="Times New Roman" w:eastAsia="仿宋"/>
          <w:b/>
          <w:color w:val="auto"/>
          <w:sz w:val="52"/>
          <w:szCs w:val="52"/>
          <w:lang w:eastAsia="zh-CN"/>
        </w:rPr>
      </w:pPr>
    </w:p>
    <w:p>
      <w:pPr>
        <w:adjustRightInd w:val="0"/>
        <w:snapToGrid w:val="0"/>
        <w:jc w:val="center"/>
        <w:rPr>
          <w:rFonts w:hint="eastAsia" w:ascii="Times New Roman" w:hAnsi="Times New Roman" w:eastAsia="仿宋"/>
          <w:b/>
          <w:color w:val="auto"/>
          <w:sz w:val="52"/>
          <w:szCs w:val="52"/>
          <w:lang w:eastAsia="zh-CN"/>
        </w:rPr>
      </w:pPr>
    </w:p>
    <w:p>
      <w:pPr>
        <w:adjustRightInd w:val="0"/>
        <w:snapToGrid w:val="0"/>
        <w:jc w:val="center"/>
        <w:rPr>
          <w:rFonts w:hint="eastAsia" w:ascii="Times New Roman" w:hAnsi="Times New Roman" w:eastAsia="仿宋"/>
          <w:b/>
          <w:color w:val="auto"/>
          <w:sz w:val="52"/>
          <w:szCs w:val="52"/>
        </w:rPr>
      </w:pPr>
      <w:r>
        <w:rPr>
          <w:rFonts w:hint="eastAsia" w:ascii="Times New Roman" w:hAnsi="Times New Roman" w:eastAsia="仿宋"/>
          <w:b/>
          <w:color w:val="auto"/>
          <w:sz w:val="52"/>
          <w:szCs w:val="52"/>
          <w:lang w:eastAsia="zh-CN"/>
        </w:rPr>
        <w:t>九冶钢结构有限公司</w:t>
      </w:r>
      <w:r>
        <w:rPr>
          <w:rFonts w:hint="eastAsia" w:ascii="Times New Roman" w:hAnsi="Times New Roman" w:eastAsia="仿宋"/>
          <w:b/>
          <w:color w:val="auto"/>
          <w:sz w:val="52"/>
          <w:szCs w:val="52"/>
        </w:rPr>
        <w:t xml:space="preserve">  </w:t>
      </w:r>
    </w:p>
    <w:p>
      <w:pPr>
        <w:adjustRightInd w:val="0"/>
        <w:snapToGrid w:val="0"/>
        <w:jc w:val="center"/>
        <w:rPr>
          <w:rFonts w:ascii="Times New Roman" w:hAnsi="Times New Roman" w:eastAsia="仿宋"/>
          <w:b/>
          <w:bCs/>
          <w:color w:val="auto"/>
          <w:sz w:val="52"/>
          <w:szCs w:val="52"/>
        </w:rPr>
      </w:pPr>
      <w:r>
        <w:rPr>
          <w:rFonts w:ascii="Times New Roman" w:hAnsi="Times New Roman" w:eastAsia="仿宋"/>
          <w:b/>
          <w:color w:val="auto"/>
          <w:sz w:val="52"/>
          <w:szCs w:val="52"/>
        </w:rPr>
        <w:t>突发环境事件应急预案</w:t>
      </w:r>
      <w:r>
        <w:rPr>
          <w:rFonts w:ascii="Times New Roman" w:hAnsi="Times New Roman" w:eastAsia="仿宋"/>
          <w:b/>
          <w:bCs/>
          <w:color w:val="auto"/>
          <w:sz w:val="52"/>
          <w:szCs w:val="52"/>
        </w:rPr>
        <w:t>编制说明</w:t>
      </w:r>
    </w:p>
    <w:p>
      <w:pPr>
        <w:adjustRightInd w:val="0"/>
        <w:snapToGrid w:val="0"/>
        <w:spacing w:line="360" w:lineRule="auto"/>
        <w:jc w:val="center"/>
        <w:rPr>
          <w:rFonts w:ascii="Times New Roman" w:hAnsi="Times New Roman" w:eastAsia="仿宋"/>
          <w:b/>
          <w:bCs/>
          <w:color w:val="auto"/>
          <w:sz w:val="52"/>
          <w:szCs w:val="52"/>
        </w:rPr>
      </w:pPr>
    </w:p>
    <w:p>
      <w:pPr>
        <w:adjustRightInd w:val="0"/>
        <w:snapToGrid w:val="0"/>
        <w:spacing w:line="360" w:lineRule="auto"/>
        <w:jc w:val="center"/>
        <w:rPr>
          <w:color w:val="auto"/>
        </w:rPr>
      </w:pPr>
    </w:p>
    <w:p>
      <w:pPr>
        <w:adjustRightInd w:val="0"/>
        <w:snapToGrid w:val="0"/>
        <w:jc w:val="center"/>
        <w:rPr>
          <w:rFonts w:ascii="Times New Roman" w:hAnsi="Times New Roman" w:eastAsia="仿宋"/>
          <w:b/>
          <w:bCs/>
          <w:color w:val="auto"/>
          <w:sz w:val="52"/>
          <w:szCs w:val="52"/>
        </w:rPr>
      </w:pPr>
    </w:p>
    <w:p>
      <w:pPr>
        <w:adjustRightInd w:val="0"/>
        <w:snapToGrid w:val="0"/>
        <w:jc w:val="center"/>
        <w:rPr>
          <w:rFonts w:ascii="Times New Roman" w:hAnsi="Times New Roman" w:eastAsia="仿宋"/>
          <w:b/>
          <w:bCs/>
          <w:color w:val="auto"/>
          <w:sz w:val="52"/>
          <w:szCs w:val="52"/>
        </w:rPr>
      </w:pPr>
    </w:p>
    <w:p>
      <w:pPr>
        <w:adjustRightInd w:val="0"/>
        <w:snapToGrid w:val="0"/>
        <w:jc w:val="center"/>
        <w:rPr>
          <w:rFonts w:ascii="Times New Roman" w:hAnsi="Times New Roman" w:eastAsia="仿宋"/>
          <w:b/>
          <w:bCs/>
          <w:color w:val="auto"/>
          <w:sz w:val="52"/>
          <w:szCs w:val="52"/>
        </w:rPr>
      </w:pPr>
    </w:p>
    <w:p>
      <w:pPr>
        <w:adjustRightInd w:val="0"/>
        <w:snapToGrid w:val="0"/>
        <w:jc w:val="center"/>
        <w:rPr>
          <w:rFonts w:ascii="Times New Roman" w:hAnsi="Times New Roman" w:eastAsia="仿宋"/>
          <w:b/>
          <w:bCs/>
          <w:color w:val="auto"/>
          <w:sz w:val="52"/>
          <w:szCs w:val="52"/>
        </w:rPr>
      </w:pPr>
    </w:p>
    <w:p>
      <w:pPr>
        <w:pStyle w:val="2"/>
        <w:adjustRightInd w:val="0"/>
        <w:snapToGrid w:val="0"/>
        <w:rPr>
          <w:rFonts w:ascii="Times New Roman" w:hAnsi="Times New Roman" w:eastAsia="仿宋"/>
          <w:b w:val="0"/>
          <w:bCs/>
          <w:color w:val="auto"/>
          <w:sz w:val="52"/>
          <w:szCs w:val="52"/>
        </w:rPr>
      </w:pPr>
    </w:p>
    <w:p>
      <w:pPr>
        <w:pStyle w:val="4"/>
        <w:jc w:val="both"/>
        <w:rPr>
          <w:rFonts w:ascii="Times New Roman" w:hAnsi="Times New Roman" w:eastAsia="仿宋"/>
          <w:b/>
          <w:snapToGrid w:val="0"/>
          <w:color w:val="auto"/>
          <w:kern w:val="0"/>
          <w:sz w:val="36"/>
          <w:szCs w:val="36"/>
        </w:rPr>
      </w:pPr>
    </w:p>
    <w:p>
      <w:pPr>
        <w:pStyle w:val="4"/>
        <w:rPr>
          <w:rFonts w:ascii="Times New Roman" w:hAnsi="Times New Roman" w:eastAsia="仿宋"/>
          <w:b/>
          <w:snapToGrid w:val="0"/>
          <w:color w:val="auto"/>
          <w:kern w:val="0"/>
          <w:sz w:val="36"/>
          <w:szCs w:val="36"/>
        </w:rPr>
      </w:pPr>
    </w:p>
    <w:p>
      <w:pPr>
        <w:pStyle w:val="4"/>
        <w:rPr>
          <w:rFonts w:ascii="Times New Roman" w:hAnsi="Times New Roman" w:eastAsia="仿宋"/>
          <w:b/>
          <w:snapToGrid w:val="0"/>
          <w:color w:val="auto"/>
          <w:kern w:val="0"/>
          <w:sz w:val="36"/>
          <w:szCs w:val="36"/>
        </w:rPr>
      </w:pPr>
    </w:p>
    <w:p>
      <w:pPr>
        <w:overflowPunct w:val="0"/>
        <w:autoSpaceDE w:val="0"/>
        <w:autoSpaceDN w:val="0"/>
        <w:adjustRightInd w:val="0"/>
        <w:snapToGrid w:val="0"/>
        <w:spacing w:line="360" w:lineRule="auto"/>
        <w:jc w:val="center"/>
        <w:rPr>
          <w:rFonts w:hint="eastAsia" w:ascii="Times New Roman" w:hAnsi="Times New Roman" w:eastAsia="仿宋"/>
          <w:b/>
          <w:snapToGrid w:val="0"/>
          <w:color w:val="auto"/>
          <w:kern w:val="0"/>
          <w:sz w:val="36"/>
          <w:szCs w:val="36"/>
          <w:lang w:eastAsia="zh-CN"/>
        </w:rPr>
      </w:pPr>
      <w:r>
        <w:rPr>
          <w:rFonts w:hint="eastAsia" w:ascii="Times New Roman" w:hAnsi="Times New Roman" w:eastAsia="仿宋"/>
          <w:b/>
          <w:snapToGrid w:val="0"/>
          <w:color w:val="auto"/>
          <w:kern w:val="0"/>
          <w:sz w:val="36"/>
          <w:szCs w:val="36"/>
          <w:lang w:eastAsia="zh-CN"/>
        </w:rPr>
        <w:t>九冶钢结构有限公司</w:t>
      </w:r>
    </w:p>
    <w:p>
      <w:pPr>
        <w:adjustRightInd w:val="0"/>
        <w:snapToGrid w:val="0"/>
        <w:jc w:val="center"/>
        <w:sectPr>
          <w:headerReference r:id="rId4" w:type="first"/>
          <w:footerReference r:id="rId6" w:type="first"/>
          <w:headerReference r:id="rId3" w:type="default"/>
          <w:footerReference r:id="rId5" w:type="default"/>
          <w:pgSz w:w="11906" w:h="16838"/>
          <w:pgMar w:top="1440" w:right="1020" w:bottom="1440" w:left="964" w:header="851" w:footer="992" w:gutter="0"/>
          <w:pgBorders>
            <w:top w:val="none" w:sz="0" w:space="0"/>
            <w:left w:val="none" w:sz="0" w:space="0"/>
            <w:bottom w:val="none" w:sz="0" w:space="0"/>
            <w:right w:val="none" w:sz="0" w:space="0"/>
          </w:pgBorders>
          <w:cols w:space="720" w:num="1"/>
          <w:titlePg/>
          <w:docGrid w:type="lines" w:linePitch="312" w:charSpace="0"/>
        </w:sectPr>
      </w:pPr>
      <w:r>
        <w:rPr>
          <w:rFonts w:ascii="Times New Roman" w:hAnsi="Times New Roman" w:eastAsia="仿宋"/>
          <w:b/>
          <w:snapToGrid w:val="0"/>
          <w:color w:val="auto"/>
          <w:kern w:val="0"/>
          <w:sz w:val="36"/>
          <w:szCs w:val="36"/>
        </w:rPr>
        <w:t>二〇二</w:t>
      </w:r>
      <w:r>
        <w:rPr>
          <w:rFonts w:hint="eastAsia" w:ascii="Times New Roman" w:hAnsi="Times New Roman" w:eastAsia="仿宋"/>
          <w:b/>
          <w:snapToGrid w:val="0"/>
          <w:color w:val="auto"/>
          <w:kern w:val="0"/>
          <w:sz w:val="36"/>
          <w:szCs w:val="36"/>
          <w:lang w:val="en-US" w:eastAsia="zh-CN"/>
        </w:rPr>
        <w:t>二</w:t>
      </w:r>
      <w:r>
        <w:rPr>
          <w:rFonts w:ascii="Times New Roman" w:hAnsi="Times New Roman" w:eastAsia="仿宋"/>
          <w:b/>
          <w:snapToGrid w:val="0"/>
          <w:color w:val="auto"/>
          <w:kern w:val="0"/>
          <w:sz w:val="36"/>
          <w:szCs w:val="36"/>
        </w:rPr>
        <w:t>年</w:t>
      </w:r>
      <w:r>
        <w:rPr>
          <w:rFonts w:hint="eastAsia" w:ascii="Times New Roman" w:hAnsi="Times New Roman" w:eastAsia="仿宋"/>
          <w:b/>
          <w:snapToGrid w:val="0"/>
          <w:color w:val="auto"/>
          <w:kern w:val="0"/>
          <w:sz w:val="36"/>
          <w:szCs w:val="36"/>
          <w:lang w:val="en-US" w:eastAsia="zh-CN"/>
        </w:rPr>
        <w:t>十</w:t>
      </w:r>
      <w:r>
        <w:rPr>
          <w:rFonts w:ascii="Times New Roman" w:hAnsi="Times New Roman" w:eastAsia="仿宋"/>
          <w:b/>
          <w:snapToGrid w:val="0"/>
          <w:color w:val="auto"/>
          <w:kern w:val="0"/>
          <w:sz w:val="36"/>
          <w:szCs w:val="36"/>
        </w:rPr>
        <w:t>月</w:t>
      </w:r>
    </w:p>
    <w:p>
      <w:pPr>
        <w:sectPr>
          <w:pgSz w:w="11906" w:h="16838"/>
          <w:pgMar w:top="1440" w:right="1020" w:bottom="1440" w:left="964" w:header="851" w:footer="992" w:gutter="0"/>
          <w:pgBorders>
            <w:top w:val="none" w:sz="0" w:space="0"/>
            <w:left w:val="none" w:sz="0" w:space="0"/>
            <w:bottom w:val="none" w:sz="0" w:space="0"/>
            <w:right w:val="none" w:sz="0" w:space="0"/>
          </w:pgBorders>
          <w:cols w:space="720" w:num="1"/>
          <w:titlePg/>
          <w:docGrid w:type="lines" w:linePitch="312" w:charSpace="0"/>
        </w:sectPr>
      </w:pPr>
    </w:p>
    <w:p>
      <w:pPr>
        <w:pStyle w:val="7"/>
        <w:adjustRightInd w:val="0"/>
        <w:snapToGrid w:val="0"/>
        <w:spacing w:line="300" w:lineRule="exact"/>
        <w:jc w:val="center"/>
        <w:rPr>
          <w:rFonts w:ascii="Times New Roman" w:hAnsi="Times New Roman" w:eastAsia="仿宋"/>
          <w:color w:val="auto"/>
          <w:sz w:val="32"/>
          <w:szCs w:val="32"/>
          <w:lang w:val="zh-CN"/>
        </w:rPr>
      </w:pPr>
    </w:p>
    <w:p>
      <w:pPr>
        <w:pStyle w:val="7"/>
        <w:adjustRightInd w:val="0"/>
        <w:snapToGrid w:val="0"/>
        <w:spacing w:line="360" w:lineRule="auto"/>
        <w:jc w:val="center"/>
        <w:rPr>
          <w:rFonts w:ascii="Times New Roman" w:hAnsi="Times New Roman" w:eastAsia="仿宋"/>
          <w:color w:val="auto"/>
          <w:sz w:val="32"/>
          <w:szCs w:val="32"/>
        </w:rPr>
      </w:pPr>
      <w:r>
        <w:rPr>
          <w:rFonts w:ascii="Times New Roman" w:hAnsi="Times New Roman" w:eastAsia="仿宋"/>
          <w:color w:val="auto"/>
          <w:sz w:val="32"/>
          <w:szCs w:val="32"/>
          <w:lang w:val="zh-CN"/>
        </w:rPr>
        <w:t>目  录</w:t>
      </w:r>
    </w:p>
    <w:p>
      <w:pPr>
        <w:pStyle w:val="7"/>
        <w:tabs>
          <w:tab w:val="right" w:leader="dot" w:pos="9070"/>
        </w:tabs>
        <w:rPr>
          <w:color w:val="auto"/>
          <w:sz w:val="28"/>
          <w:szCs w:val="28"/>
        </w:rPr>
      </w:pPr>
      <w:bookmarkStart w:id="0" w:name="_Toc301018540"/>
      <w:r>
        <w:rPr>
          <w:color w:val="auto"/>
          <w:sz w:val="28"/>
          <w:szCs w:val="28"/>
        </w:rPr>
        <w:fldChar w:fldCharType="begin"/>
      </w:r>
      <w:r>
        <w:rPr>
          <w:color w:val="auto"/>
          <w:sz w:val="28"/>
          <w:szCs w:val="28"/>
        </w:rPr>
        <w:instrText xml:space="preserve"> HYPERLINK \l "_Toc18322" </w:instrText>
      </w:r>
      <w:r>
        <w:rPr>
          <w:color w:val="auto"/>
          <w:sz w:val="28"/>
          <w:szCs w:val="28"/>
        </w:rPr>
        <w:fldChar w:fldCharType="separate"/>
      </w:r>
      <w:r>
        <w:rPr>
          <w:rFonts w:ascii="Times New Roman" w:hAnsi="Times New Roman" w:eastAsia="仿宋"/>
          <w:color w:val="auto"/>
          <w:kern w:val="0"/>
          <w:sz w:val="28"/>
          <w:szCs w:val="28"/>
        </w:rPr>
        <w:t>一、编制目的</w:t>
      </w:r>
      <w:r>
        <w:rPr>
          <w:color w:val="auto"/>
          <w:sz w:val="28"/>
          <w:szCs w:val="28"/>
        </w:rPr>
        <w:tab/>
      </w:r>
      <w:r>
        <w:rPr>
          <w:color w:val="auto"/>
          <w:sz w:val="28"/>
          <w:szCs w:val="28"/>
        </w:rPr>
        <w:fldChar w:fldCharType="begin"/>
      </w:r>
      <w:r>
        <w:rPr>
          <w:color w:val="auto"/>
          <w:sz w:val="28"/>
          <w:szCs w:val="28"/>
        </w:rPr>
        <w:instrText xml:space="preserve"> PAGEREF _Toc18322 </w:instrText>
      </w:r>
      <w:r>
        <w:rPr>
          <w:color w:val="auto"/>
          <w:sz w:val="28"/>
          <w:szCs w:val="28"/>
        </w:rPr>
        <w:fldChar w:fldCharType="separate"/>
      </w:r>
      <w:r>
        <w:rPr>
          <w:color w:val="auto"/>
          <w:sz w:val="28"/>
          <w:szCs w:val="28"/>
        </w:rPr>
        <w:t>1</w:t>
      </w:r>
      <w:r>
        <w:rPr>
          <w:color w:val="auto"/>
          <w:sz w:val="28"/>
          <w:szCs w:val="28"/>
        </w:rPr>
        <w:fldChar w:fldCharType="end"/>
      </w:r>
      <w:r>
        <w:rPr>
          <w:color w:val="auto"/>
          <w:sz w:val="28"/>
          <w:szCs w:val="28"/>
        </w:rPr>
        <w:fldChar w:fldCharType="end"/>
      </w:r>
    </w:p>
    <w:p>
      <w:pPr>
        <w:pStyle w:val="7"/>
        <w:tabs>
          <w:tab w:val="right" w:leader="dot" w:pos="9070"/>
        </w:tabs>
        <w:rPr>
          <w:color w:val="auto"/>
          <w:sz w:val="28"/>
          <w:szCs w:val="28"/>
        </w:rPr>
      </w:pPr>
      <w:r>
        <w:rPr>
          <w:color w:val="auto"/>
          <w:sz w:val="28"/>
          <w:szCs w:val="28"/>
        </w:rPr>
        <w:fldChar w:fldCharType="begin"/>
      </w:r>
      <w:r>
        <w:rPr>
          <w:color w:val="auto"/>
          <w:sz w:val="28"/>
          <w:szCs w:val="28"/>
        </w:rPr>
        <w:instrText xml:space="preserve"> HYPERLINK \l "_Toc7228" </w:instrText>
      </w:r>
      <w:r>
        <w:rPr>
          <w:color w:val="auto"/>
          <w:sz w:val="28"/>
          <w:szCs w:val="28"/>
        </w:rPr>
        <w:fldChar w:fldCharType="separate"/>
      </w:r>
      <w:r>
        <w:rPr>
          <w:rFonts w:hint="eastAsia" w:ascii="Times New Roman" w:hAnsi="Times New Roman" w:eastAsia="仿宋"/>
          <w:color w:val="auto"/>
          <w:kern w:val="0"/>
          <w:sz w:val="28"/>
          <w:szCs w:val="28"/>
        </w:rPr>
        <w:t>二、编制指导思想及原则</w:t>
      </w:r>
      <w:r>
        <w:rPr>
          <w:color w:val="auto"/>
          <w:sz w:val="28"/>
          <w:szCs w:val="28"/>
        </w:rPr>
        <w:tab/>
      </w:r>
      <w:r>
        <w:rPr>
          <w:color w:val="auto"/>
          <w:sz w:val="28"/>
          <w:szCs w:val="28"/>
        </w:rPr>
        <w:fldChar w:fldCharType="begin"/>
      </w:r>
      <w:r>
        <w:rPr>
          <w:color w:val="auto"/>
          <w:sz w:val="28"/>
          <w:szCs w:val="28"/>
        </w:rPr>
        <w:instrText xml:space="preserve"> PAGEREF _Toc7228 </w:instrText>
      </w:r>
      <w:r>
        <w:rPr>
          <w:color w:val="auto"/>
          <w:sz w:val="28"/>
          <w:szCs w:val="28"/>
        </w:rPr>
        <w:fldChar w:fldCharType="separate"/>
      </w:r>
      <w:r>
        <w:rPr>
          <w:color w:val="auto"/>
          <w:sz w:val="28"/>
          <w:szCs w:val="28"/>
        </w:rPr>
        <w:t>1</w:t>
      </w:r>
      <w:r>
        <w:rPr>
          <w:color w:val="auto"/>
          <w:sz w:val="28"/>
          <w:szCs w:val="28"/>
        </w:rPr>
        <w:fldChar w:fldCharType="end"/>
      </w:r>
      <w:r>
        <w:rPr>
          <w:color w:val="auto"/>
          <w:sz w:val="28"/>
          <w:szCs w:val="28"/>
        </w:rPr>
        <w:fldChar w:fldCharType="end"/>
      </w:r>
    </w:p>
    <w:p>
      <w:pPr>
        <w:pStyle w:val="7"/>
        <w:tabs>
          <w:tab w:val="right" w:leader="dot" w:pos="9070"/>
        </w:tabs>
        <w:rPr>
          <w:color w:val="auto"/>
          <w:sz w:val="28"/>
          <w:szCs w:val="28"/>
        </w:rPr>
      </w:pPr>
      <w:r>
        <w:rPr>
          <w:color w:val="auto"/>
          <w:sz w:val="28"/>
          <w:szCs w:val="28"/>
        </w:rPr>
        <w:fldChar w:fldCharType="begin"/>
      </w:r>
      <w:r>
        <w:rPr>
          <w:color w:val="auto"/>
          <w:sz w:val="28"/>
          <w:szCs w:val="28"/>
        </w:rPr>
        <w:instrText xml:space="preserve"> HYPERLINK \l "_Toc28683" </w:instrText>
      </w:r>
      <w:r>
        <w:rPr>
          <w:color w:val="auto"/>
          <w:sz w:val="28"/>
          <w:szCs w:val="28"/>
        </w:rPr>
        <w:fldChar w:fldCharType="separate"/>
      </w:r>
      <w:r>
        <w:rPr>
          <w:rFonts w:hint="eastAsia" w:ascii="Times New Roman" w:hAnsi="Times New Roman" w:eastAsia="仿宋"/>
          <w:color w:val="auto"/>
          <w:kern w:val="0"/>
          <w:sz w:val="28"/>
          <w:szCs w:val="28"/>
        </w:rPr>
        <w:t>三</w:t>
      </w:r>
      <w:r>
        <w:rPr>
          <w:rFonts w:ascii="Times New Roman" w:hAnsi="Times New Roman" w:eastAsia="仿宋"/>
          <w:color w:val="auto"/>
          <w:kern w:val="0"/>
          <w:sz w:val="28"/>
          <w:szCs w:val="28"/>
        </w:rPr>
        <w:t>、编制过程</w:t>
      </w:r>
      <w:r>
        <w:rPr>
          <w:color w:val="auto"/>
          <w:sz w:val="28"/>
          <w:szCs w:val="28"/>
        </w:rPr>
        <w:tab/>
      </w:r>
      <w:r>
        <w:rPr>
          <w:color w:val="auto"/>
          <w:sz w:val="28"/>
          <w:szCs w:val="28"/>
        </w:rPr>
        <w:fldChar w:fldCharType="begin"/>
      </w:r>
      <w:r>
        <w:rPr>
          <w:color w:val="auto"/>
          <w:sz w:val="28"/>
          <w:szCs w:val="28"/>
        </w:rPr>
        <w:instrText xml:space="preserve"> PAGEREF _Toc28683 </w:instrText>
      </w:r>
      <w:r>
        <w:rPr>
          <w:color w:val="auto"/>
          <w:sz w:val="28"/>
          <w:szCs w:val="28"/>
        </w:rPr>
        <w:fldChar w:fldCharType="separate"/>
      </w:r>
      <w:r>
        <w:rPr>
          <w:color w:val="auto"/>
          <w:sz w:val="28"/>
          <w:szCs w:val="28"/>
        </w:rPr>
        <w:t>2</w:t>
      </w:r>
      <w:r>
        <w:rPr>
          <w:color w:val="auto"/>
          <w:sz w:val="28"/>
          <w:szCs w:val="28"/>
        </w:rPr>
        <w:fldChar w:fldCharType="end"/>
      </w:r>
      <w:r>
        <w:rPr>
          <w:color w:val="auto"/>
          <w:sz w:val="28"/>
          <w:szCs w:val="28"/>
        </w:rPr>
        <w:fldChar w:fldCharType="end"/>
      </w:r>
    </w:p>
    <w:p>
      <w:pPr>
        <w:pStyle w:val="7"/>
        <w:tabs>
          <w:tab w:val="right" w:leader="dot" w:pos="9070"/>
        </w:tabs>
        <w:rPr>
          <w:color w:val="auto"/>
          <w:sz w:val="28"/>
          <w:szCs w:val="28"/>
        </w:rPr>
      </w:pPr>
      <w:r>
        <w:rPr>
          <w:color w:val="auto"/>
          <w:sz w:val="28"/>
          <w:szCs w:val="28"/>
        </w:rPr>
        <w:fldChar w:fldCharType="begin"/>
      </w:r>
      <w:r>
        <w:rPr>
          <w:color w:val="auto"/>
          <w:sz w:val="28"/>
          <w:szCs w:val="28"/>
        </w:rPr>
        <w:instrText xml:space="preserve"> HYPERLINK \l "_Toc12074" </w:instrText>
      </w:r>
      <w:r>
        <w:rPr>
          <w:color w:val="auto"/>
          <w:sz w:val="28"/>
          <w:szCs w:val="28"/>
        </w:rPr>
        <w:fldChar w:fldCharType="separate"/>
      </w:r>
      <w:r>
        <w:rPr>
          <w:rFonts w:hint="eastAsia" w:ascii="Times New Roman" w:hAnsi="Times New Roman" w:eastAsia="仿宋"/>
          <w:color w:val="auto"/>
          <w:kern w:val="0"/>
          <w:sz w:val="28"/>
          <w:szCs w:val="28"/>
        </w:rPr>
        <w:t>四</w:t>
      </w:r>
      <w:r>
        <w:rPr>
          <w:rFonts w:ascii="Times New Roman" w:hAnsi="Times New Roman" w:eastAsia="仿宋"/>
          <w:color w:val="auto"/>
          <w:kern w:val="0"/>
          <w:sz w:val="28"/>
          <w:szCs w:val="28"/>
        </w:rPr>
        <w:t>、预案</w:t>
      </w:r>
      <w:r>
        <w:rPr>
          <w:rFonts w:hint="eastAsia" w:ascii="Times New Roman" w:hAnsi="Times New Roman" w:eastAsia="仿宋"/>
          <w:color w:val="auto"/>
          <w:kern w:val="0"/>
          <w:sz w:val="28"/>
          <w:szCs w:val="28"/>
        </w:rPr>
        <w:t>主要内容</w:t>
      </w:r>
      <w:r>
        <w:rPr>
          <w:color w:val="auto"/>
          <w:sz w:val="28"/>
          <w:szCs w:val="28"/>
        </w:rPr>
        <w:tab/>
      </w:r>
      <w:r>
        <w:rPr>
          <w:rFonts w:hint="eastAsia"/>
          <w:color w:val="auto"/>
          <w:sz w:val="28"/>
          <w:szCs w:val="28"/>
          <w:lang w:val="en-US" w:eastAsia="zh-CN"/>
        </w:rPr>
        <w:t>3</w:t>
      </w:r>
      <w:r>
        <w:rPr>
          <w:color w:val="auto"/>
          <w:sz w:val="28"/>
          <w:szCs w:val="28"/>
        </w:rPr>
        <w:fldChar w:fldCharType="end"/>
      </w:r>
    </w:p>
    <w:p>
      <w:pPr>
        <w:pStyle w:val="7"/>
        <w:tabs>
          <w:tab w:val="right" w:leader="dot" w:pos="9070"/>
        </w:tabs>
        <w:rPr>
          <w:color w:val="auto"/>
          <w:sz w:val="28"/>
          <w:szCs w:val="28"/>
        </w:rPr>
      </w:pPr>
      <w:r>
        <w:rPr>
          <w:color w:val="auto"/>
          <w:sz w:val="28"/>
          <w:szCs w:val="28"/>
        </w:rPr>
        <w:fldChar w:fldCharType="begin"/>
      </w:r>
      <w:r>
        <w:rPr>
          <w:color w:val="auto"/>
          <w:sz w:val="28"/>
          <w:szCs w:val="28"/>
        </w:rPr>
        <w:instrText xml:space="preserve"> HYPERLINK \l "_Toc29267" </w:instrText>
      </w:r>
      <w:r>
        <w:rPr>
          <w:color w:val="auto"/>
          <w:sz w:val="28"/>
          <w:szCs w:val="28"/>
        </w:rPr>
        <w:fldChar w:fldCharType="separate"/>
      </w:r>
      <w:r>
        <w:rPr>
          <w:rFonts w:hint="eastAsia" w:ascii="Times New Roman" w:hAnsi="Times New Roman" w:eastAsia="仿宋"/>
          <w:color w:val="auto"/>
          <w:kern w:val="0"/>
          <w:sz w:val="28"/>
          <w:szCs w:val="28"/>
        </w:rPr>
        <w:t>五</w:t>
      </w:r>
      <w:r>
        <w:rPr>
          <w:rFonts w:ascii="Times New Roman" w:hAnsi="Times New Roman" w:eastAsia="仿宋"/>
          <w:color w:val="auto"/>
          <w:kern w:val="0"/>
          <w:sz w:val="28"/>
          <w:szCs w:val="28"/>
        </w:rPr>
        <w:t>、重点内容说明</w:t>
      </w:r>
      <w:r>
        <w:rPr>
          <w:color w:val="auto"/>
          <w:sz w:val="28"/>
          <w:szCs w:val="28"/>
        </w:rPr>
        <w:tab/>
      </w:r>
      <w:r>
        <w:rPr>
          <w:rFonts w:hint="eastAsia"/>
          <w:color w:val="auto"/>
          <w:sz w:val="28"/>
          <w:szCs w:val="28"/>
          <w:lang w:val="en-US" w:eastAsia="zh-CN"/>
        </w:rPr>
        <w:t>4</w:t>
      </w:r>
      <w:r>
        <w:rPr>
          <w:color w:val="auto"/>
          <w:sz w:val="28"/>
          <w:szCs w:val="28"/>
        </w:rPr>
        <w:fldChar w:fldCharType="end"/>
      </w:r>
    </w:p>
    <w:p>
      <w:pPr>
        <w:pStyle w:val="7"/>
        <w:tabs>
          <w:tab w:val="right" w:leader="dot" w:pos="9070"/>
        </w:tabs>
        <w:rPr>
          <w:color w:val="auto"/>
          <w:sz w:val="28"/>
          <w:szCs w:val="28"/>
        </w:rPr>
      </w:pPr>
      <w:r>
        <w:rPr>
          <w:color w:val="auto"/>
          <w:sz w:val="28"/>
          <w:szCs w:val="28"/>
        </w:rPr>
        <w:fldChar w:fldCharType="begin"/>
      </w:r>
      <w:r>
        <w:rPr>
          <w:color w:val="auto"/>
          <w:sz w:val="28"/>
          <w:szCs w:val="28"/>
        </w:rPr>
        <w:instrText xml:space="preserve"> HYPERLINK \l "_Toc22201" </w:instrText>
      </w:r>
      <w:r>
        <w:rPr>
          <w:color w:val="auto"/>
          <w:sz w:val="28"/>
          <w:szCs w:val="28"/>
        </w:rPr>
        <w:fldChar w:fldCharType="separate"/>
      </w:r>
      <w:r>
        <w:rPr>
          <w:rFonts w:hint="eastAsia" w:ascii="Times New Roman" w:hAnsi="Times New Roman" w:eastAsia="仿宋"/>
          <w:color w:val="auto"/>
          <w:kern w:val="0"/>
          <w:sz w:val="28"/>
          <w:szCs w:val="28"/>
        </w:rPr>
        <w:t>六、征求意见及采纳情况</w:t>
      </w:r>
      <w:r>
        <w:rPr>
          <w:color w:val="auto"/>
          <w:sz w:val="28"/>
          <w:szCs w:val="28"/>
        </w:rPr>
        <w:tab/>
      </w:r>
      <w:r>
        <w:rPr>
          <w:color w:val="auto"/>
          <w:sz w:val="28"/>
          <w:szCs w:val="28"/>
        </w:rPr>
        <w:fldChar w:fldCharType="begin"/>
      </w:r>
      <w:r>
        <w:rPr>
          <w:color w:val="auto"/>
          <w:sz w:val="28"/>
          <w:szCs w:val="28"/>
        </w:rPr>
        <w:instrText xml:space="preserve"> PAGEREF _Toc22201 </w:instrText>
      </w:r>
      <w:r>
        <w:rPr>
          <w:color w:val="auto"/>
          <w:sz w:val="28"/>
          <w:szCs w:val="28"/>
        </w:rPr>
        <w:fldChar w:fldCharType="separate"/>
      </w:r>
      <w:r>
        <w:rPr>
          <w:color w:val="auto"/>
          <w:sz w:val="28"/>
          <w:szCs w:val="28"/>
        </w:rPr>
        <w:t>4</w:t>
      </w:r>
      <w:r>
        <w:rPr>
          <w:color w:val="auto"/>
          <w:sz w:val="28"/>
          <w:szCs w:val="28"/>
        </w:rPr>
        <w:fldChar w:fldCharType="end"/>
      </w:r>
      <w:r>
        <w:rPr>
          <w:color w:val="auto"/>
          <w:sz w:val="28"/>
          <w:szCs w:val="28"/>
        </w:rPr>
        <w:fldChar w:fldCharType="end"/>
      </w:r>
    </w:p>
    <w:p>
      <w:pPr>
        <w:pStyle w:val="7"/>
        <w:tabs>
          <w:tab w:val="right" w:leader="dot" w:pos="9070"/>
        </w:tabs>
        <w:rPr>
          <w:rFonts w:ascii="Times New Roman" w:hAnsi="Times New Roman" w:eastAsia="仿宋"/>
          <w:color w:val="auto"/>
          <w:sz w:val="28"/>
          <w:szCs w:val="28"/>
        </w:rPr>
      </w:pPr>
      <w:r>
        <w:rPr>
          <w:color w:val="auto"/>
          <w:sz w:val="28"/>
          <w:szCs w:val="28"/>
        </w:rPr>
        <w:fldChar w:fldCharType="begin"/>
      </w:r>
      <w:r>
        <w:rPr>
          <w:color w:val="auto"/>
          <w:sz w:val="28"/>
          <w:szCs w:val="28"/>
        </w:rPr>
        <w:instrText xml:space="preserve"> HYPERLINK \l "_Toc20884" </w:instrText>
      </w:r>
      <w:r>
        <w:rPr>
          <w:color w:val="auto"/>
          <w:sz w:val="28"/>
          <w:szCs w:val="28"/>
        </w:rPr>
        <w:fldChar w:fldCharType="separate"/>
      </w:r>
      <w:r>
        <w:rPr>
          <w:rFonts w:hint="eastAsia" w:ascii="Times New Roman" w:hAnsi="Times New Roman" w:eastAsia="仿宋"/>
          <w:color w:val="auto"/>
          <w:kern w:val="0"/>
          <w:sz w:val="28"/>
          <w:szCs w:val="28"/>
        </w:rPr>
        <w:t>七</w:t>
      </w:r>
      <w:r>
        <w:rPr>
          <w:rFonts w:ascii="Times New Roman" w:hAnsi="Times New Roman" w:eastAsia="仿宋"/>
          <w:color w:val="auto"/>
          <w:kern w:val="0"/>
          <w:sz w:val="28"/>
          <w:szCs w:val="28"/>
        </w:rPr>
        <w:t>、应急演练暴露问题及解决措施</w:t>
      </w:r>
      <w:r>
        <w:rPr>
          <w:color w:val="auto"/>
          <w:sz w:val="28"/>
          <w:szCs w:val="28"/>
        </w:rPr>
        <w:tab/>
      </w:r>
      <w:r>
        <w:rPr>
          <w:rFonts w:hint="eastAsia"/>
          <w:color w:val="auto"/>
          <w:sz w:val="28"/>
          <w:szCs w:val="28"/>
          <w:lang w:val="en-US" w:eastAsia="zh-CN"/>
        </w:rPr>
        <w:t>4</w:t>
      </w:r>
      <w:r>
        <w:rPr>
          <w:color w:val="auto"/>
          <w:sz w:val="28"/>
          <w:szCs w:val="28"/>
        </w:rPr>
        <w:fldChar w:fldCharType="end"/>
      </w:r>
    </w:p>
    <w:p>
      <w:pPr>
        <w:pStyle w:val="7"/>
        <w:tabs>
          <w:tab w:val="right" w:leader="dot" w:pos="9070"/>
        </w:tabs>
        <w:sectPr>
          <w:headerReference r:id="rId7" w:type="default"/>
          <w:footerReference r:id="rId8" w:type="default"/>
          <w:pgSz w:w="11906" w:h="16838"/>
          <w:pgMar w:top="1304" w:right="1418" w:bottom="1247" w:left="1418"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r>
        <w:rPr>
          <w:color w:val="auto"/>
          <w:sz w:val="28"/>
          <w:szCs w:val="28"/>
        </w:rPr>
        <w:fldChar w:fldCharType="begin"/>
      </w:r>
      <w:r>
        <w:rPr>
          <w:color w:val="auto"/>
          <w:sz w:val="28"/>
          <w:szCs w:val="28"/>
        </w:rPr>
        <w:instrText xml:space="preserve"> HYPERLINK \l "_Toc20884" </w:instrText>
      </w:r>
      <w:r>
        <w:rPr>
          <w:color w:val="auto"/>
          <w:sz w:val="28"/>
          <w:szCs w:val="28"/>
        </w:rPr>
        <w:fldChar w:fldCharType="separate"/>
      </w:r>
      <w:r>
        <w:rPr>
          <w:rFonts w:hint="eastAsia" w:ascii="Times New Roman" w:hAnsi="Times New Roman" w:eastAsia="仿宋"/>
          <w:color w:val="auto"/>
          <w:kern w:val="0"/>
          <w:sz w:val="28"/>
          <w:szCs w:val="28"/>
        </w:rPr>
        <w:t>八</w:t>
      </w:r>
      <w:r>
        <w:rPr>
          <w:rFonts w:ascii="Times New Roman" w:hAnsi="Times New Roman" w:eastAsia="仿宋"/>
          <w:color w:val="auto"/>
          <w:kern w:val="0"/>
          <w:sz w:val="28"/>
          <w:szCs w:val="28"/>
        </w:rPr>
        <w:t>、评审情况说明</w:t>
      </w:r>
      <w:r>
        <w:rPr>
          <w:color w:val="auto"/>
          <w:sz w:val="28"/>
          <w:szCs w:val="28"/>
        </w:rPr>
        <w:tab/>
      </w:r>
      <w:r>
        <w:rPr>
          <w:rFonts w:hint="eastAsia"/>
          <w:color w:val="auto"/>
          <w:sz w:val="28"/>
          <w:szCs w:val="28"/>
        </w:rPr>
        <w:t>6</w:t>
      </w:r>
      <w:r>
        <w:rPr>
          <w:rFonts w:hint="eastAsia"/>
          <w:color w:val="auto"/>
          <w:sz w:val="28"/>
          <w:szCs w:val="28"/>
        </w:rPr>
        <w:fldChar w:fldCharType="end"/>
      </w:r>
      <w:bookmarkStart w:id="20" w:name="_GoBack"/>
      <w:bookmarkEnd w:id="20"/>
    </w:p>
    <w:p>
      <w:pPr>
        <w:pStyle w:val="2"/>
      </w:pPr>
    </w:p>
    <w:p>
      <w:pPr>
        <w:tabs>
          <w:tab w:val="right" w:leader="dot" w:pos="8380"/>
        </w:tabs>
        <w:adjustRightInd w:val="0"/>
        <w:snapToGrid w:val="0"/>
        <w:spacing w:line="360" w:lineRule="auto"/>
        <w:jc w:val="left"/>
        <w:rPr>
          <w:rFonts w:ascii="Times New Roman" w:hAnsi="Times New Roman" w:eastAsia="仿宋"/>
          <w:caps/>
          <w:color w:val="auto"/>
          <w:sz w:val="24"/>
          <w:szCs w:val="24"/>
        </w:rPr>
      </w:pPr>
    </w:p>
    <w:p>
      <w:pPr>
        <w:tabs>
          <w:tab w:val="right" w:leader="dot" w:pos="8380"/>
        </w:tabs>
        <w:adjustRightInd w:val="0"/>
        <w:snapToGrid w:val="0"/>
        <w:spacing w:line="400" w:lineRule="exact"/>
        <w:ind w:firstLine="480" w:firstLineChars="200"/>
        <w:jc w:val="left"/>
        <w:rPr>
          <w:rFonts w:ascii="Times New Roman" w:hAnsi="Times New Roman" w:eastAsia="仿宋"/>
          <w:caps/>
          <w:color w:val="auto"/>
          <w:sz w:val="24"/>
          <w:szCs w:val="24"/>
        </w:rPr>
        <w:sectPr>
          <w:pgSz w:w="11906" w:h="16838"/>
          <w:pgMar w:top="1304" w:right="1418" w:bottom="1247" w:left="1418"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Pr>
        <w:pStyle w:val="3"/>
        <w:adjustRightInd w:val="0"/>
        <w:snapToGrid w:val="0"/>
        <w:spacing w:line="360" w:lineRule="auto"/>
        <w:jc w:val="both"/>
        <w:rPr>
          <w:rFonts w:ascii="Times New Roman" w:hAnsi="Times New Roman"/>
          <w:color w:val="auto"/>
          <w:kern w:val="0"/>
          <w:sz w:val="28"/>
          <w:szCs w:val="28"/>
        </w:rPr>
      </w:pPr>
      <w:bookmarkStart w:id="1" w:name="_Toc18322"/>
      <w:r>
        <w:rPr>
          <w:rFonts w:ascii="Times New Roman" w:hAnsi="Times New Roman"/>
          <w:color w:val="auto"/>
          <w:kern w:val="0"/>
          <w:sz w:val="28"/>
          <w:szCs w:val="28"/>
        </w:rPr>
        <w:t>一、编制目的</w:t>
      </w:r>
      <w:bookmarkEnd w:id="1"/>
    </w:p>
    <w:p>
      <w:pPr>
        <w:adjustRightInd w:val="0"/>
        <w:snapToGrid w:val="0"/>
        <w:spacing w:line="360" w:lineRule="auto"/>
        <w:ind w:firstLine="560" w:firstLineChars="200"/>
        <w:rPr>
          <w:rFonts w:ascii="Times New Roman" w:hAnsi="Times New Roman" w:eastAsia="仿宋"/>
          <w:color w:val="auto"/>
          <w:sz w:val="28"/>
          <w:szCs w:val="28"/>
        </w:rPr>
      </w:pPr>
      <w:r>
        <w:rPr>
          <w:rFonts w:ascii="Times New Roman" w:hAnsi="Times New Roman" w:eastAsia="仿宋"/>
          <w:color w:val="auto"/>
          <w:sz w:val="28"/>
          <w:szCs w:val="28"/>
        </w:rPr>
        <w:t>为保障企业环保安全，有效预防、及时控制和消除突发环境事件的危害，提高应急能力，规范处置程序、明确相关职责，确保迅速有效地处理突发性局部或区域环境污染事故，指导和规范突发性环境污染和生态破坏事件的应急处理工作，将事故造成的损失降低到最小程度，特制定本预案。本预案将对实际发生的环境风险事故和紧急情况作出响应，预防和减少伴随的环境影响。</w:t>
      </w:r>
    </w:p>
    <w:p>
      <w:pPr>
        <w:pStyle w:val="3"/>
        <w:adjustRightInd w:val="0"/>
        <w:snapToGrid w:val="0"/>
        <w:spacing w:line="360" w:lineRule="auto"/>
        <w:jc w:val="both"/>
        <w:rPr>
          <w:rFonts w:ascii="Times New Roman" w:hAnsi="Times New Roman"/>
          <w:color w:val="auto"/>
          <w:kern w:val="0"/>
          <w:sz w:val="28"/>
          <w:szCs w:val="28"/>
        </w:rPr>
      </w:pPr>
      <w:bookmarkStart w:id="2" w:name="_Toc7228"/>
      <w:r>
        <w:rPr>
          <w:rFonts w:hint="eastAsia" w:ascii="Times New Roman" w:hAnsi="Times New Roman"/>
          <w:color w:val="auto"/>
          <w:kern w:val="0"/>
          <w:sz w:val="28"/>
          <w:szCs w:val="28"/>
        </w:rPr>
        <w:t>二、编制指导思想及原则</w:t>
      </w:r>
      <w:bookmarkEnd w:id="2"/>
    </w:p>
    <w:p>
      <w:pPr>
        <w:adjustRightInd w:val="0"/>
        <w:snapToGrid w:val="0"/>
        <w:spacing w:line="360" w:lineRule="auto"/>
        <w:ind w:firstLine="562" w:firstLineChars="200"/>
        <w:rPr>
          <w:rFonts w:ascii="Times New Roman" w:hAnsi="Times New Roman" w:eastAsia="仿宋"/>
          <w:b/>
          <w:bCs/>
          <w:color w:val="auto"/>
          <w:sz w:val="28"/>
          <w:szCs w:val="28"/>
        </w:rPr>
      </w:pPr>
      <w:r>
        <w:rPr>
          <w:rFonts w:hint="eastAsia" w:ascii="Times New Roman" w:hAnsi="Times New Roman" w:eastAsia="仿宋"/>
          <w:b/>
          <w:bCs/>
          <w:color w:val="auto"/>
          <w:sz w:val="28"/>
          <w:szCs w:val="28"/>
        </w:rPr>
        <w:t>1.指导思想</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按照科学发展观和构建和谐社会的要求，提高应对突发环境事件的能力。</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坚持“全面规划、合理布局、综合利用、化害为利、依靠群众、大家动手、保护环境、造福人民”的基本方针，建立公司突发环境事件的应急预案，加强对环境事件危险源的监测、监控并实施监督管理，建立环境事件风险防范体系，积极预防、及时控制、消除隐患，提高环境事件防范和处理能力，全面提升公司应对突发环境事件应急管理水平。</w:t>
      </w:r>
    </w:p>
    <w:p>
      <w:pPr>
        <w:adjustRightInd w:val="0"/>
        <w:snapToGrid w:val="0"/>
        <w:spacing w:line="360" w:lineRule="auto"/>
        <w:ind w:firstLine="562" w:firstLineChars="200"/>
        <w:rPr>
          <w:rFonts w:ascii="Times New Roman" w:hAnsi="Times New Roman" w:eastAsia="仿宋"/>
          <w:b/>
          <w:bCs/>
          <w:color w:val="auto"/>
          <w:sz w:val="28"/>
          <w:szCs w:val="28"/>
        </w:rPr>
      </w:pPr>
      <w:r>
        <w:rPr>
          <w:rFonts w:hint="eastAsia" w:ascii="Times New Roman" w:hAnsi="Times New Roman" w:eastAsia="仿宋"/>
          <w:b/>
          <w:bCs/>
          <w:color w:val="auto"/>
          <w:sz w:val="28"/>
          <w:szCs w:val="28"/>
        </w:rPr>
        <w:t>2.编制原则</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工作原则以科学发展观统领全局，坚持以人为本，本着实事求是、切实可行的方针，全面提升</w:t>
      </w:r>
      <w:r>
        <w:rPr>
          <w:rFonts w:hint="eastAsia" w:ascii="Times New Roman" w:hAnsi="Times New Roman" w:eastAsia="仿宋"/>
          <w:color w:val="auto"/>
          <w:sz w:val="28"/>
          <w:szCs w:val="28"/>
          <w:lang w:eastAsia="zh-CN"/>
        </w:rPr>
        <w:t>九冶钢结构有限公司</w:t>
      </w:r>
      <w:r>
        <w:rPr>
          <w:rFonts w:hint="eastAsia" w:ascii="Times New Roman" w:hAnsi="Times New Roman" w:eastAsia="仿宋"/>
          <w:color w:val="auto"/>
          <w:sz w:val="28"/>
          <w:szCs w:val="28"/>
        </w:rPr>
        <w:t>应对突发环境事件的能力。</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⑴坚持以人为本，预防为主。</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⑵坚持统一领导，分类管理，分级响应。</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⑶坚持环境优先，先期处置原则。</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⑷依法办事，应对突发性环境污染，及时上报属地环保、安全等相关单位，及时排除风险、及时救援。</w:t>
      </w:r>
    </w:p>
    <w:p>
      <w:pPr>
        <w:pStyle w:val="3"/>
        <w:adjustRightInd w:val="0"/>
        <w:snapToGrid w:val="0"/>
        <w:spacing w:line="360" w:lineRule="auto"/>
        <w:jc w:val="both"/>
        <w:rPr>
          <w:rFonts w:ascii="Times New Roman" w:hAnsi="Times New Roman"/>
          <w:color w:val="auto"/>
          <w:kern w:val="0"/>
          <w:sz w:val="28"/>
          <w:szCs w:val="28"/>
        </w:rPr>
      </w:pPr>
      <w:bookmarkStart w:id="3" w:name="_Toc28683"/>
      <w:r>
        <w:rPr>
          <w:rFonts w:hint="eastAsia" w:ascii="Times New Roman" w:hAnsi="Times New Roman"/>
          <w:color w:val="auto"/>
          <w:kern w:val="0"/>
          <w:sz w:val="28"/>
          <w:szCs w:val="28"/>
        </w:rPr>
        <w:t>三、</w:t>
      </w:r>
      <w:bookmarkEnd w:id="0"/>
      <w:r>
        <w:rPr>
          <w:rFonts w:hint="eastAsia" w:ascii="Times New Roman" w:hAnsi="Times New Roman"/>
          <w:color w:val="auto"/>
          <w:kern w:val="0"/>
          <w:sz w:val="28"/>
          <w:szCs w:val="28"/>
        </w:rPr>
        <w:t>编制过程</w:t>
      </w:r>
      <w:bookmarkEnd w:id="3"/>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lang w:eastAsia="zh-CN"/>
        </w:rPr>
        <w:t>九冶钢结构有限公司</w:t>
      </w:r>
      <w:r>
        <w:rPr>
          <w:rFonts w:ascii="Times New Roman" w:hAnsi="Times New Roman" w:eastAsia="仿宋"/>
          <w:color w:val="auto"/>
          <w:sz w:val="28"/>
          <w:szCs w:val="28"/>
        </w:rPr>
        <w:t>组建突发环境事件应急预案编制组，由</w:t>
      </w:r>
      <w:r>
        <w:rPr>
          <w:rFonts w:hint="eastAsia" w:ascii="Times New Roman" w:hAnsi="Times New Roman" w:eastAsia="仿宋"/>
          <w:color w:val="auto"/>
          <w:sz w:val="28"/>
          <w:szCs w:val="28"/>
          <w:lang w:val="en-US" w:eastAsia="zh-CN"/>
        </w:rPr>
        <w:t>余文平</w:t>
      </w:r>
      <w:r>
        <w:rPr>
          <w:rFonts w:ascii="Times New Roman" w:hAnsi="Times New Roman" w:eastAsia="仿宋"/>
          <w:color w:val="auto"/>
          <w:sz w:val="28"/>
          <w:szCs w:val="28"/>
        </w:rPr>
        <w:t>担任组长，负责预案资料的收集工作，公司相关方面的专业技术人员全程参与预案编制工作</w:t>
      </w:r>
      <w:r>
        <w:rPr>
          <w:rFonts w:hint="eastAsia" w:ascii="Times New Roman" w:hAnsi="Times New Roman" w:eastAsia="仿宋"/>
          <w:color w:val="auto"/>
          <w:sz w:val="28"/>
          <w:szCs w:val="28"/>
        </w:rPr>
        <w:t>。本次突发环境事件应急预案的版本为第一版。</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应急预案编制过程任务清单见表2-1。</w:t>
      </w:r>
    </w:p>
    <w:p>
      <w:pPr>
        <w:adjustRightInd w:val="0"/>
        <w:snapToGrid w:val="0"/>
        <w:spacing w:line="360" w:lineRule="auto"/>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表2-1  应急预案编制任务清单一览表</w:t>
      </w:r>
    </w:p>
    <w:tbl>
      <w:tblPr>
        <w:tblStyle w:val="9"/>
        <w:tblW w:w="8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
        <w:gridCol w:w="1032"/>
        <w:gridCol w:w="6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989" w:type="dxa"/>
            <w:gridSpan w:val="2"/>
            <w:vAlign w:val="center"/>
          </w:tcPr>
          <w:p>
            <w:pPr>
              <w:adjustRightInd w:val="0"/>
              <w:snapToGrid w:val="0"/>
              <w:spacing w:line="380" w:lineRule="exact"/>
              <w:ind w:left="-63" w:leftChars="-30" w:right="-63" w:rightChars="-30"/>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职务</w:t>
            </w:r>
          </w:p>
        </w:tc>
        <w:tc>
          <w:tcPr>
            <w:tcW w:w="6735" w:type="dxa"/>
            <w:vAlign w:val="center"/>
          </w:tcPr>
          <w:p>
            <w:pPr>
              <w:adjustRightInd w:val="0"/>
              <w:snapToGrid w:val="0"/>
              <w:spacing w:line="380" w:lineRule="exact"/>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adjustRightInd w:val="0"/>
              <w:snapToGrid w:val="0"/>
              <w:spacing w:line="380" w:lineRule="exact"/>
              <w:ind w:left="-63" w:leftChars="-30" w:right="-63" w:rightChars="-30"/>
              <w:jc w:val="center"/>
              <w:rPr>
                <w:rFonts w:ascii="Times New Roman" w:hAnsi="Times New Roman" w:eastAsia="仿宋"/>
                <w:color w:val="auto"/>
                <w:sz w:val="24"/>
                <w:szCs w:val="24"/>
              </w:rPr>
            </w:pPr>
            <w:r>
              <w:rPr>
                <w:rFonts w:hint="eastAsia" w:ascii="Times New Roman" w:hAnsi="Times New Roman" w:eastAsia="仿宋"/>
                <w:color w:val="auto"/>
                <w:sz w:val="24"/>
                <w:szCs w:val="24"/>
              </w:rPr>
              <w:t>组长</w:t>
            </w:r>
          </w:p>
        </w:tc>
        <w:tc>
          <w:tcPr>
            <w:tcW w:w="1032" w:type="dxa"/>
            <w:vAlign w:val="center"/>
          </w:tcPr>
          <w:p>
            <w:pPr>
              <w:spacing w:line="440" w:lineRule="exact"/>
              <w:jc w:val="center"/>
              <w:rPr>
                <w:rFonts w:hint="eastAsia" w:ascii="Times New Roman" w:hAnsi="Times New Roman" w:eastAsia="仿宋"/>
                <w:color w:val="auto"/>
                <w:sz w:val="24"/>
                <w:szCs w:val="24"/>
                <w:lang w:eastAsia="zh-CN"/>
              </w:rPr>
            </w:pPr>
            <w:r>
              <w:rPr>
                <w:rFonts w:hint="eastAsia" w:ascii="仿宋" w:hAnsi="仿宋" w:eastAsia="仿宋" w:cs="仿宋"/>
                <w:bCs/>
                <w:color w:val="auto"/>
                <w:sz w:val="24"/>
                <w:lang w:val="en-US" w:eastAsia="zh-CN"/>
              </w:rPr>
              <w:t>余文平</w:t>
            </w:r>
          </w:p>
        </w:tc>
        <w:tc>
          <w:tcPr>
            <w:tcW w:w="6735" w:type="dxa"/>
            <w:vAlign w:val="center"/>
          </w:tcPr>
          <w:p>
            <w:pPr>
              <w:adjustRightInd w:val="0"/>
              <w:snapToGrid w:val="0"/>
              <w:spacing w:line="380" w:lineRule="exact"/>
              <w:rPr>
                <w:rFonts w:ascii="Times New Roman" w:hAnsi="Times New Roman" w:eastAsia="仿宋"/>
                <w:color w:val="auto"/>
                <w:sz w:val="24"/>
                <w:szCs w:val="24"/>
              </w:rPr>
            </w:pPr>
            <w:r>
              <w:rPr>
                <w:rFonts w:hint="eastAsia" w:ascii="Times New Roman" w:hAnsi="Times New Roman" w:eastAsia="仿宋"/>
                <w:color w:val="auto"/>
                <w:sz w:val="24"/>
                <w:szCs w:val="24"/>
              </w:rPr>
              <w:t>①任务分配，根据</w:t>
            </w:r>
            <w:r>
              <w:rPr>
                <w:rFonts w:hint="eastAsia" w:ascii="Times New Roman" w:hAnsi="Times New Roman" w:eastAsia="仿宋"/>
                <w:color w:val="auto"/>
                <w:sz w:val="24"/>
                <w:szCs w:val="24"/>
                <w:lang w:eastAsia="zh-CN"/>
              </w:rPr>
              <w:t>合建站</w:t>
            </w:r>
            <w:r>
              <w:rPr>
                <w:rFonts w:hint="eastAsia" w:ascii="Times New Roman" w:hAnsi="Times New Roman" w:eastAsia="仿宋"/>
                <w:color w:val="auto"/>
                <w:sz w:val="24"/>
                <w:szCs w:val="24"/>
              </w:rPr>
              <w:t>平面布置及人员配置情况，分配各工作人员开展</w:t>
            </w:r>
            <w:r>
              <w:rPr>
                <w:rFonts w:hint="eastAsia" w:ascii="Times New Roman" w:hAnsi="Times New Roman" w:eastAsia="仿宋"/>
                <w:color w:val="auto"/>
                <w:sz w:val="24"/>
                <w:szCs w:val="24"/>
                <w:lang w:eastAsia="zh-CN"/>
              </w:rPr>
              <w:t>合建站</w:t>
            </w:r>
            <w:r>
              <w:rPr>
                <w:rFonts w:hint="eastAsia" w:ascii="Times New Roman" w:hAnsi="Times New Roman" w:eastAsia="仿宋"/>
                <w:color w:val="auto"/>
                <w:sz w:val="24"/>
                <w:szCs w:val="24"/>
              </w:rPr>
              <w:t>的环境风险及应急物资调查；</w:t>
            </w:r>
          </w:p>
          <w:p>
            <w:pPr>
              <w:adjustRightInd w:val="0"/>
              <w:snapToGrid w:val="0"/>
              <w:spacing w:line="380" w:lineRule="exact"/>
              <w:rPr>
                <w:rFonts w:ascii="Times New Roman" w:hAnsi="Times New Roman" w:eastAsia="仿宋"/>
                <w:color w:val="auto"/>
                <w:sz w:val="24"/>
                <w:szCs w:val="24"/>
              </w:rPr>
            </w:pPr>
            <w:r>
              <w:rPr>
                <w:rFonts w:hint="eastAsia" w:ascii="Times New Roman" w:hAnsi="Times New Roman" w:eastAsia="仿宋"/>
                <w:color w:val="auto"/>
                <w:sz w:val="24"/>
                <w:szCs w:val="24"/>
              </w:rPr>
              <w:t>②根据各区域的环境风险调查结果汇总，审核环境风险评估报告；</w:t>
            </w:r>
          </w:p>
          <w:p>
            <w:pPr>
              <w:adjustRightInd w:val="0"/>
              <w:snapToGrid w:val="0"/>
              <w:spacing w:line="380" w:lineRule="exact"/>
              <w:rPr>
                <w:rFonts w:ascii="Times New Roman" w:hAnsi="Times New Roman" w:eastAsia="仿宋"/>
                <w:color w:val="auto"/>
                <w:sz w:val="24"/>
                <w:szCs w:val="24"/>
              </w:rPr>
            </w:pPr>
            <w:r>
              <w:rPr>
                <w:rFonts w:hint="eastAsia" w:ascii="Times New Roman" w:hAnsi="Times New Roman" w:eastAsia="仿宋"/>
                <w:color w:val="auto"/>
                <w:sz w:val="24"/>
                <w:szCs w:val="24"/>
              </w:rPr>
              <w:t>③根据各区域的应急资源调查结果汇总，确定应急组织机构；</w:t>
            </w:r>
          </w:p>
          <w:p>
            <w:pPr>
              <w:adjustRightInd w:val="0"/>
              <w:snapToGrid w:val="0"/>
              <w:spacing w:line="380" w:lineRule="exact"/>
              <w:rPr>
                <w:rFonts w:ascii="Times New Roman" w:hAnsi="Times New Roman" w:eastAsia="仿宋"/>
                <w:color w:val="auto"/>
                <w:sz w:val="24"/>
                <w:szCs w:val="24"/>
              </w:rPr>
            </w:pPr>
            <w:r>
              <w:rPr>
                <w:rFonts w:hint="eastAsia" w:ascii="Times New Roman" w:hAnsi="Times New Roman" w:eastAsia="仿宋"/>
                <w:color w:val="auto"/>
                <w:sz w:val="24"/>
                <w:szCs w:val="24"/>
              </w:rPr>
              <w:t>④根据环境风险调查结果，综合第三方专业机构意见，组织</w:t>
            </w:r>
            <w:r>
              <w:rPr>
                <w:rFonts w:hint="eastAsia" w:ascii="Times New Roman" w:hAnsi="Times New Roman" w:eastAsia="仿宋"/>
                <w:color w:val="auto"/>
                <w:sz w:val="24"/>
                <w:szCs w:val="24"/>
                <w:lang w:eastAsia="zh-CN"/>
              </w:rPr>
              <w:t>合建站</w:t>
            </w:r>
            <w:r>
              <w:rPr>
                <w:rFonts w:hint="eastAsia" w:ascii="Times New Roman" w:hAnsi="Times New Roman" w:eastAsia="仿宋"/>
                <w:color w:val="auto"/>
                <w:sz w:val="24"/>
                <w:szCs w:val="24"/>
              </w:rPr>
              <w:t>各级人员开展可能突发环境事件类别分析，提出整改措施；</w:t>
            </w:r>
          </w:p>
          <w:p>
            <w:pPr>
              <w:adjustRightInd w:val="0"/>
              <w:snapToGrid w:val="0"/>
              <w:spacing w:line="380" w:lineRule="exact"/>
              <w:rPr>
                <w:rFonts w:hint="default" w:ascii="Times New Roman" w:hAnsi="Times New Roman" w:eastAsia="仿宋"/>
                <w:color w:val="auto"/>
                <w:sz w:val="24"/>
                <w:szCs w:val="24"/>
                <w:lang w:val="en-US" w:eastAsia="zh-CN"/>
              </w:rPr>
            </w:pPr>
            <w:r>
              <w:rPr>
                <w:rFonts w:hint="eastAsia" w:ascii="Times New Roman" w:hAnsi="Times New Roman" w:eastAsia="仿宋"/>
                <w:color w:val="auto"/>
                <w:sz w:val="24"/>
                <w:szCs w:val="24"/>
              </w:rPr>
              <w:t>⑤负责应急预案的审核及发布令的签署。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adjustRightInd w:val="0"/>
              <w:snapToGrid w:val="0"/>
              <w:spacing w:line="380" w:lineRule="exact"/>
              <w:ind w:left="-63" w:leftChars="-30" w:right="-63" w:rightChars="-30"/>
              <w:jc w:val="center"/>
              <w:rPr>
                <w:rFonts w:ascii="Times New Roman" w:hAnsi="Times New Roman" w:eastAsia="仿宋"/>
                <w:color w:val="auto"/>
                <w:sz w:val="24"/>
                <w:szCs w:val="24"/>
              </w:rPr>
            </w:pPr>
            <w:r>
              <w:rPr>
                <w:rFonts w:hint="eastAsia" w:ascii="Times New Roman" w:hAnsi="Times New Roman" w:eastAsia="仿宋"/>
                <w:color w:val="auto"/>
                <w:sz w:val="24"/>
                <w:szCs w:val="24"/>
              </w:rPr>
              <w:t>组员</w:t>
            </w:r>
          </w:p>
        </w:tc>
        <w:tc>
          <w:tcPr>
            <w:tcW w:w="1032" w:type="dxa"/>
            <w:vAlign w:val="center"/>
          </w:tcPr>
          <w:p>
            <w:pPr>
              <w:spacing w:line="440" w:lineRule="exact"/>
              <w:jc w:val="center"/>
              <w:rPr>
                <w:rFonts w:ascii="Times New Roman" w:hAnsi="Times New Roman" w:eastAsia="仿宋"/>
                <w:color w:val="auto"/>
                <w:sz w:val="24"/>
                <w:szCs w:val="24"/>
              </w:rPr>
            </w:pPr>
            <w:r>
              <w:rPr>
                <w:rFonts w:hint="eastAsia" w:ascii="Times New Roman" w:hAnsi="Times New Roman" w:eastAsia="仿宋" w:cs="Times New Roman"/>
                <w:bCs/>
                <w:color w:val="auto"/>
                <w:kern w:val="2"/>
                <w:sz w:val="24"/>
                <w:szCs w:val="24"/>
                <w:lang w:val="en-US" w:eastAsia="zh-CN" w:bidi="ar-SA"/>
              </w:rPr>
              <w:t>姚兵</w:t>
            </w:r>
          </w:p>
        </w:tc>
        <w:tc>
          <w:tcPr>
            <w:tcW w:w="6735" w:type="dxa"/>
            <w:vAlign w:val="center"/>
          </w:tcPr>
          <w:p>
            <w:pPr>
              <w:adjustRightInd w:val="0"/>
              <w:snapToGrid w:val="0"/>
              <w:spacing w:line="380" w:lineRule="exact"/>
              <w:rPr>
                <w:rFonts w:ascii="Times New Roman" w:hAnsi="Times New Roman" w:eastAsia="仿宋"/>
                <w:color w:val="auto"/>
                <w:sz w:val="24"/>
                <w:szCs w:val="24"/>
              </w:rPr>
            </w:pPr>
            <w:r>
              <w:rPr>
                <w:rFonts w:hint="eastAsia" w:ascii="Times New Roman" w:hAnsi="Times New Roman" w:eastAsia="仿宋"/>
                <w:color w:val="auto"/>
                <w:sz w:val="24"/>
                <w:szCs w:val="24"/>
              </w:rPr>
              <w:t>①负责汇总</w:t>
            </w:r>
            <w:r>
              <w:rPr>
                <w:rFonts w:hint="eastAsia" w:ascii="Times New Roman" w:hAnsi="Times New Roman" w:eastAsia="仿宋"/>
                <w:color w:val="auto"/>
                <w:sz w:val="24"/>
                <w:szCs w:val="24"/>
                <w:lang w:eastAsia="zh-CN"/>
              </w:rPr>
              <w:t>合建站</w:t>
            </w:r>
            <w:r>
              <w:rPr>
                <w:rFonts w:hint="eastAsia" w:ascii="Times New Roman" w:hAnsi="Times New Roman" w:eastAsia="仿宋"/>
                <w:color w:val="auto"/>
                <w:sz w:val="24"/>
                <w:szCs w:val="24"/>
              </w:rPr>
              <w:t>外部应急救援机构及联系方式；</w:t>
            </w:r>
          </w:p>
          <w:p>
            <w:pPr>
              <w:adjustRightInd w:val="0"/>
              <w:snapToGrid w:val="0"/>
              <w:spacing w:line="380" w:lineRule="exact"/>
              <w:rPr>
                <w:rFonts w:ascii="Times New Roman" w:hAnsi="Times New Roman" w:eastAsia="仿宋"/>
                <w:color w:val="auto"/>
                <w:sz w:val="24"/>
                <w:szCs w:val="24"/>
              </w:rPr>
            </w:pPr>
            <w:r>
              <w:rPr>
                <w:rFonts w:hint="eastAsia" w:ascii="Times New Roman" w:hAnsi="Times New Roman" w:eastAsia="仿宋"/>
                <w:color w:val="auto"/>
                <w:sz w:val="24"/>
                <w:szCs w:val="24"/>
              </w:rPr>
              <w:t>②核定</w:t>
            </w:r>
            <w:r>
              <w:rPr>
                <w:rFonts w:hint="eastAsia" w:ascii="Times New Roman" w:hAnsi="Times New Roman" w:eastAsia="仿宋"/>
                <w:color w:val="auto"/>
                <w:sz w:val="24"/>
                <w:szCs w:val="24"/>
                <w:lang w:eastAsia="zh-CN"/>
              </w:rPr>
              <w:t>合建站</w:t>
            </w:r>
            <w:r>
              <w:rPr>
                <w:rFonts w:hint="eastAsia" w:ascii="Times New Roman" w:hAnsi="Times New Roman" w:eastAsia="仿宋"/>
                <w:color w:val="auto"/>
                <w:sz w:val="24"/>
                <w:szCs w:val="24"/>
              </w:rPr>
              <w:t>内工作人员，参与</w:t>
            </w:r>
            <w:r>
              <w:rPr>
                <w:rFonts w:hint="eastAsia" w:ascii="Times New Roman" w:hAnsi="Times New Roman" w:eastAsia="仿宋"/>
                <w:color w:val="auto"/>
                <w:sz w:val="24"/>
                <w:szCs w:val="24"/>
                <w:lang w:eastAsia="zh-CN"/>
              </w:rPr>
              <w:t>合建站</w:t>
            </w:r>
            <w:r>
              <w:rPr>
                <w:rFonts w:hint="eastAsia" w:ascii="Times New Roman" w:hAnsi="Times New Roman" w:eastAsia="仿宋"/>
                <w:color w:val="auto"/>
                <w:sz w:val="24"/>
                <w:szCs w:val="24"/>
              </w:rPr>
              <w:t>应急组织机构确定工作。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adjustRightInd w:val="0"/>
              <w:snapToGrid w:val="0"/>
              <w:spacing w:line="380" w:lineRule="exact"/>
              <w:ind w:left="-63" w:leftChars="-30" w:right="-63" w:rightChars="-30"/>
              <w:jc w:val="center"/>
              <w:rPr>
                <w:rFonts w:ascii="Times New Roman" w:hAnsi="Times New Roman" w:eastAsia="仿宋"/>
                <w:color w:val="auto"/>
                <w:sz w:val="24"/>
                <w:szCs w:val="24"/>
              </w:rPr>
            </w:pPr>
            <w:r>
              <w:rPr>
                <w:rFonts w:hint="eastAsia" w:ascii="Times New Roman" w:hAnsi="Times New Roman" w:eastAsia="仿宋"/>
                <w:color w:val="auto"/>
                <w:sz w:val="24"/>
                <w:szCs w:val="24"/>
              </w:rPr>
              <w:t>组员</w:t>
            </w:r>
          </w:p>
        </w:tc>
        <w:tc>
          <w:tcPr>
            <w:tcW w:w="1032" w:type="dxa"/>
            <w:vAlign w:val="center"/>
          </w:tcPr>
          <w:p>
            <w:pPr>
              <w:spacing w:line="440" w:lineRule="exact"/>
              <w:jc w:val="center"/>
              <w:rPr>
                <w:rFonts w:hint="default" w:ascii="Times New Roman" w:hAnsi="Times New Roman" w:eastAsia="仿宋"/>
                <w:color w:val="auto"/>
                <w:sz w:val="24"/>
                <w:szCs w:val="24"/>
                <w:lang w:val="en-US" w:eastAsia="zh-CN"/>
              </w:rPr>
            </w:pPr>
            <w:r>
              <w:rPr>
                <w:rFonts w:hint="eastAsia" w:ascii="Times New Roman" w:hAnsi="Times New Roman" w:eastAsia="仿宋"/>
                <w:color w:val="auto"/>
                <w:sz w:val="24"/>
                <w:szCs w:val="24"/>
                <w:lang w:val="en-US" w:eastAsia="zh-CN"/>
              </w:rPr>
              <w:t>常超</w:t>
            </w:r>
          </w:p>
        </w:tc>
        <w:tc>
          <w:tcPr>
            <w:tcW w:w="6735" w:type="dxa"/>
            <w:vAlign w:val="center"/>
          </w:tcPr>
          <w:p>
            <w:pPr>
              <w:adjustRightInd w:val="0"/>
              <w:snapToGrid w:val="0"/>
              <w:spacing w:line="380" w:lineRule="exact"/>
              <w:rPr>
                <w:rFonts w:ascii="Times New Roman" w:hAnsi="Times New Roman" w:eastAsia="仿宋"/>
                <w:color w:val="auto"/>
                <w:sz w:val="24"/>
                <w:szCs w:val="24"/>
              </w:rPr>
            </w:pPr>
            <w:r>
              <w:rPr>
                <w:rFonts w:hint="eastAsia" w:ascii="Times New Roman" w:hAnsi="Times New Roman" w:eastAsia="仿宋"/>
                <w:color w:val="auto"/>
                <w:sz w:val="24"/>
                <w:szCs w:val="24"/>
              </w:rPr>
              <w:t>①负责</w:t>
            </w:r>
            <w:r>
              <w:rPr>
                <w:rFonts w:hint="eastAsia" w:ascii="Times New Roman" w:hAnsi="Times New Roman" w:eastAsia="仿宋"/>
                <w:color w:val="auto"/>
                <w:sz w:val="24"/>
                <w:szCs w:val="24"/>
                <w:lang w:eastAsia="zh-CN"/>
              </w:rPr>
              <w:t>合建站</w:t>
            </w:r>
            <w:r>
              <w:rPr>
                <w:rFonts w:hint="eastAsia" w:ascii="Times New Roman" w:hAnsi="Times New Roman" w:eastAsia="仿宋"/>
                <w:color w:val="auto"/>
                <w:sz w:val="24"/>
                <w:szCs w:val="24"/>
              </w:rPr>
              <w:t>的环境风险及应急资源调查，并形成结果；</w:t>
            </w:r>
          </w:p>
          <w:p>
            <w:pPr>
              <w:adjustRightInd w:val="0"/>
              <w:snapToGrid w:val="0"/>
              <w:spacing w:line="380" w:lineRule="exact"/>
              <w:rPr>
                <w:rFonts w:ascii="Times New Roman" w:hAnsi="Times New Roman" w:eastAsia="仿宋"/>
                <w:color w:val="auto"/>
                <w:sz w:val="24"/>
                <w:szCs w:val="24"/>
              </w:rPr>
            </w:pPr>
            <w:r>
              <w:rPr>
                <w:rFonts w:hint="eastAsia" w:ascii="Times New Roman" w:hAnsi="Times New Roman" w:eastAsia="仿宋"/>
                <w:color w:val="auto"/>
                <w:sz w:val="24"/>
                <w:szCs w:val="24"/>
              </w:rPr>
              <w:t>②负责公司外部应急资源调查并形成结果；</w:t>
            </w:r>
          </w:p>
          <w:p>
            <w:pPr>
              <w:adjustRightInd w:val="0"/>
              <w:snapToGrid w:val="0"/>
              <w:spacing w:line="380" w:lineRule="exact"/>
              <w:rPr>
                <w:rFonts w:ascii="Times New Roman" w:hAnsi="Times New Roman" w:eastAsia="仿宋"/>
                <w:color w:val="auto"/>
                <w:sz w:val="24"/>
                <w:szCs w:val="24"/>
              </w:rPr>
            </w:pPr>
            <w:r>
              <w:rPr>
                <w:rFonts w:hint="eastAsia" w:ascii="Times New Roman" w:hAnsi="Times New Roman" w:eastAsia="仿宋"/>
                <w:color w:val="auto"/>
                <w:sz w:val="24"/>
                <w:szCs w:val="24"/>
              </w:rPr>
              <w:t>③参考第三方技术服务机构完善应急物资；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adjustRightInd w:val="0"/>
              <w:snapToGrid w:val="0"/>
              <w:spacing w:line="380" w:lineRule="exact"/>
              <w:ind w:left="-63" w:leftChars="-30" w:right="-63" w:rightChars="-30"/>
              <w:jc w:val="center"/>
              <w:rPr>
                <w:rFonts w:ascii="Times New Roman" w:hAnsi="Times New Roman" w:eastAsia="仿宋"/>
                <w:color w:val="auto"/>
                <w:sz w:val="24"/>
                <w:szCs w:val="24"/>
              </w:rPr>
            </w:pPr>
            <w:r>
              <w:rPr>
                <w:rFonts w:hint="eastAsia" w:ascii="Times New Roman" w:hAnsi="Times New Roman" w:eastAsia="仿宋"/>
                <w:color w:val="auto"/>
                <w:sz w:val="24"/>
                <w:szCs w:val="24"/>
              </w:rPr>
              <w:t>组员</w:t>
            </w:r>
          </w:p>
        </w:tc>
        <w:tc>
          <w:tcPr>
            <w:tcW w:w="1032" w:type="dxa"/>
            <w:vAlign w:val="center"/>
          </w:tcPr>
          <w:p>
            <w:pPr>
              <w:adjustRightInd w:val="0"/>
              <w:snapToGrid w:val="0"/>
              <w:spacing w:line="380" w:lineRule="exact"/>
              <w:ind w:left="-63" w:leftChars="-30" w:right="-63" w:rightChars="-30"/>
              <w:jc w:val="center"/>
              <w:rPr>
                <w:rFonts w:hint="default" w:ascii="Times New Roman" w:hAnsi="Times New Roman" w:eastAsia="仿宋"/>
                <w:color w:val="auto"/>
                <w:sz w:val="24"/>
                <w:szCs w:val="24"/>
                <w:lang w:val="en-US"/>
              </w:rPr>
            </w:pPr>
            <w:r>
              <w:rPr>
                <w:rFonts w:hint="eastAsia" w:ascii="Times New Roman" w:hAnsi="Times New Roman" w:eastAsia="仿宋" w:cs="Times New Roman"/>
                <w:bCs/>
                <w:color w:val="auto"/>
                <w:kern w:val="2"/>
                <w:sz w:val="24"/>
                <w:szCs w:val="24"/>
                <w:lang w:val="en-US" w:eastAsia="zh-CN" w:bidi="ar-SA"/>
              </w:rPr>
              <w:t>王凡</w:t>
            </w:r>
          </w:p>
        </w:tc>
        <w:tc>
          <w:tcPr>
            <w:tcW w:w="6735" w:type="dxa"/>
            <w:vAlign w:val="center"/>
          </w:tcPr>
          <w:p>
            <w:pPr>
              <w:adjustRightInd w:val="0"/>
              <w:snapToGrid w:val="0"/>
              <w:spacing w:line="380" w:lineRule="exact"/>
              <w:rPr>
                <w:rFonts w:ascii="Times New Roman" w:hAnsi="Times New Roman" w:eastAsia="仿宋"/>
                <w:color w:val="auto"/>
                <w:sz w:val="24"/>
                <w:szCs w:val="24"/>
              </w:rPr>
            </w:pPr>
            <w:r>
              <w:rPr>
                <w:rFonts w:hint="eastAsia" w:ascii="Times New Roman" w:hAnsi="Times New Roman" w:eastAsia="仿宋"/>
                <w:color w:val="auto"/>
                <w:sz w:val="24"/>
                <w:szCs w:val="24"/>
              </w:rPr>
              <w:t>①负责指导工作人员开展</w:t>
            </w:r>
            <w:r>
              <w:rPr>
                <w:rFonts w:hint="eastAsia" w:ascii="Times New Roman" w:hAnsi="Times New Roman" w:eastAsia="仿宋"/>
                <w:color w:val="auto"/>
                <w:sz w:val="24"/>
                <w:szCs w:val="24"/>
                <w:lang w:eastAsia="zh-CN"/>
              </w:rPr>
              <w:t>合建站</w:t>
            </w:r>
            <w:r>
              <w:rPr>
                <w:rFonts w:hint="eastAsia" w:ascii="Times New Roman" w:hAnsi="Times New Roman" w:eastAsia="仿宋"/>
                <w:color w:val="auto"/>
                <w:sz w:val="24"/>
                <w:szCs w:val="24"/>
              </w:rPr>
              <w:t>环境风险调查及风险防控措施设置，编制环境风险评估报告；</w:t>
            </w:r>
          </w:p>
          <w:p>
            <w:pPr>
              <w:adjustRightInd w:val="0"/>
              <w:snapToGrid w:val="0"/>
              <w:spacing w:line="380" w:lineRule="exact"/>
              <w:rPr>
                <w:rFonts w:ascii="Times New Roman" w:hAnsi="Times New Roman" w:eastAsia="仿宋"/>
                <w:color w:val="auto"/>
                <w:sz w:val="24"/>
                <w:szCs w:val="24"/>
              </w:rPr>
            </w:pPr>
            <w:r>
              <w:rPr>
                <w:rFonts w:hint="eastAsia" w:ascii="Times New Roman" w:hAnsi="Times New Roman" w:eastAsia="仿宋"/>
                <w:color w:val="auto"/>
                <w:sz w:val="24"/>
                <w:szCs w:val="24"/>
              </w:rPr>
              <w:t>②负责指导工作人员开展</w:t>
            </w:r>
            <w:r>
              <w:rPr>
                <w:rFonts w:hint="eastAsia" w:ascii="Times New Roman" w:hAnsi="Times New Roman" w:eastAsia="仿宋"/>
                <w:color w:val="auto"/>
                <w:sz w:val="24"/>
                <w:szCs w:val="24"/>
                <w:lang w:eastAsia="zh-CN"/>
              </w:rPr>
              <w:t>合建站</w:t>
            </w:r>
            <w:r>
              <w:rPr>
                <w:rFonts w:hint="eastAsia" w:ascii="Times New Roman" w:hAnsi="Times New Roman" w:eastAsia="仿宋"/>
                <w:color w:val="auto"/>
                <w:sz w:val="24"/>
                <w:szCs w:val="24"/>
              </w:rPr>
              <w:t>应急资源调查，指导补充完善</w:t>
            </w:r>
            <w:r>
              <w:rPr>
                <w:rFonts w:hint="eastAsia" w:ascii="Times New Roman" w:hAnsi="Times New Roman" w:eastAsia="仿宋"/>
                <w:color w:val="auto"/>
                <w:sz w:val="24"/>
                <w:szCs w:val="24"/>
                <w:lang w:eastAsia="zh-CN"/>
              </w:rPr>
              <w:t>合建站</w:t>
            </w:r>
            <w:r>
              <w:rPr>
                <w:rFonts w:hint="eastAsia" w:ascii="Times New Roman" w:hAnsi="Times New Roman" w:eastAsia="仿宋"/>
                <w:color w:val="auto"/>
                <w:sz w:val="24"/>
                <w:szCs w:val="24"/>
              </w:rPr>
              <w:t>应急物资，编制完成应急资源调查报告；</w:t>
            </w:r>
          </w:p>
          <w:p>
            <w:pPr>
              <w:adjustRightInd w:val="0"/>
              <w:snapToGrid w:val="0"/>
              <w:spacing w:line="380" w:lineRule="exact"/>
              <w:rPr>
                <w:rFonts w:ascii="Times New Roman" w:hAnsi="Times New Roman" w:eastAsia="仿宋"/>
                <w:color w:val="auto"/>
                <w:sz w:val="24"/>
                <w:szCs w:val="24"/>
              </w:rPr>
            </w:pPr>
            <w:r>
              <w:rPr>
                <w:rFonts w:hint="eastAsia" w:ascii="Times New Roman" w:hAnsi="Times New Roman" w:eastAsia="仿宋"/>
                <w:color w:val="auto"/>
                <w:sz w:val="24"/>
                <w:szCs w:val="24"/>
              </w:rPr>
              <w:t>③参与讨论，并指导完善</w:t>
            </w:r>
            <w:r>
              <w:rPr>
                <w:rFonts w:hint="eastAsia" w:ascii="Times New Roman" w:hAnsi="Times New Roman" w:eastAsia="仿宋"/>
                <w:color w:val="auto"/>
                <w:sz w:val="24"/>
                <w:szCs w:val="24"/>
                <w:lang w:eastAsia="zh-CN"/>
              </w:rPr>
              <w:t>合建站</w:t>
            </w:r>
            <w:r>
              <w:rPr>
                <w:rFonts w:hint="eastAsia" w:ascii="Times New Roman" w:hAnsi="Times New Roman" w:eastAsia="仿宋"/>
                <w:color w:val="auto"/>
                <w:sz w:val="24"/>
                <w:szCs w:val="24"/>
              </w:rPr>
              <w:t>突发环境事件情景设置及现场</w:t>
            </w:r>
          </w:p>
        </w:tc>
      </w:tr>
    </w:tbl>
    <w:p>
      <w:pPr>
        <w:pStyle w:val="3"/>
        <w:adjustRightInd w:val="0"/>
        <w:snapToGrid w:val="0"/>
        <w:spacing w:beforeLines="50" w:line="360" w:lineRule="auto"/>
        <w:jc w:val="both"/>
        <w:rPr>
          <w:rFonts w:ascii="Times New Roman" w:hAnsi="Times New Roman"/>
          <w:color w:val="auto"/>
          <w:kern w:val="0"/>
          <w:sz w:val="28"/>
          <w:szCs w:val="28"/>
        </w:rPr>
      </w:pPr>
      <w:bookmarkStart w:id="4" w:name="_Toc301018543"/>
      <w:bookmarkStart w:id="5" w:name="_Toc224965866"/>
      <w:bookmarkStart w:id="6" w:name="_Toc225244049"/>
      <w:bookmarkStart w:id="7" w:name="_Toc12074"/>
      <w:r>
        <w:rPr>
          <w:rFonts w:hint="eastAsia" w:ascii="Times New Roman" w:hAnsi="Times New Roman"/>
          <w:color w:val="auto"/>
          <w:kern w:val="0"/>
          <w:sz w:val="28"/>
          <w:szCs w:val="28"/>
        </w:rPr>
        <w:t>四、预案</w:t>
      </w:r>
      <w:bookmarkEnd w:id="4"/>
      <w:bookmarkEnd w:id="5"/>
      <w:bookmarkEnd w:id="6"/>
      <w:r>
        <w:rPr>
          <w:rFonts w:hint="eastAsia" w:ascii="Times New Roman" w:hAnsi="Times New Roman"/>
          <w:color w:val="auto"/>
          <w:kern w:val="0"/>
          <w:sz w:val="28"/>
          <w:szCs w:val="28"/>
        </w:rPr>
        <w:t>主要内容</w:t>
      </w:r>
      <w:bookmarkEnd w:id="7"/>
    </w:p>
    <w:p>
      <w:pPr>
        <w:adjustRightInd w:val="0"/>
        <w:snapToGrid w:val="0"/>
        <w:spacing w:line="360" w:lineRule="auto"/>
        <w:ind w:firstLine="560" w:firstLineChars="200"/>
        <w:rPr>
          <w:rFonts w:ascii="Times New Roman" w:hAnsi="Times New Roman" w:eastAsia="仿宋"/>
          <w:color w:val="auto"/>
          <w:sz w:val="28"/>
          <w:szCs w:val="28"/>
        </w:rPr>
      </w:pPr>
      <w:r>
        <w:rPr>
          <w:rFonts w:ascii="Times New Roman" w:hAnsi="Times New Roman" w:eastAsia="仿宋"/>
          <w:color w:val="auto"/>
          <w:sz w:val="28"/>
          <w:szCs w:val="28"/>
        </w:rPr>
        <w:t>根据《企业突发环境事件风险分级方法》（HJ</w:t>
      </w:r>
      <w:r>
        <w:rPr>
          <w:rFonts w:hint="eastAsia" w:ascii="Times New Roman" w:hAnsi="Times New Roman" w:eastAsia="仿宋"/>
          <w:color w:val="auto"/>
          <w:sz w:val="28"/>
          <w:szCs w:val="28"/>
        </w:rPr>
        <w:t xml:space="preserve"> </w:t>
      </w:r>
      <w:r>
        <w:rPr>
          <w:rFonts w:ascii="Times New Roman" w:hAnsi="Times New Roman" w:eastAsia="仿宋"/>
          <w:color w:val="auto"/>
          <w:sz w:val="28"/>
          <w:szCs w:val="28"/>
        </w:rPr>
        <w:t>941-2018）</w:t>
      </w:r>
      <w:r>
        <w:rPr>
          <w:rFonts w:hint="eastAsia" w:ascii="Times New Roman" w:hAnsi="Times New Roman" w:eastAsia="仿宋"/>
          <w:color w:val="auto"/>
          <w:sz w:val="28"/>
          <w:szCs w:val="28"/>
        </w:rPr>
        <w:t>的相关要求，在辨识和评估公司潜在的重大危险、事件类型、事件发生的可能性及发生过程、事件发生的后果及影响严重程度的基础上，编制突发环境事件应急预案。针对具体设施、场所和环境，对应急机构与其职责、人员、技术、装备、设施、物资、救援行动及其指挥与协调等方面预先做出科学有效的计划和具体安排，明确在突发环境事件发生前、过程中及结束后，应急救援组织机构各小组职责以及相应的处置方法和资源准备等。</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通过对公司储存的危险物质进行研究分析，编制公司《突发环境事件应急预案》。应急预案内容主要包括：</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（1）</w:t>
      </w:r>
      <w:r>
        <w:rPr>
          <w:rFonts w:ascii="Times New Roman" w:hAnsi="Times New Roman" w:eastAsia="仿宋"/>
          <w:color w:val="auto"/>
          <w:sz w:val="28"/>
          <w:szCs w:val="28"/>
        </w:rPr>
        <w:t>公司的概况、周边环境状况、环境敏感点等：</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（2）</w:t>
      </w:r>
      <w:r>
        <w:rPr>
          <w:rFonts w:ascii="Times New Roman" w:hAnsi="Times New Roman" w:eastAsia="仿宋"/>
          <w:color w:val="auto"/>
          <w:sz w:val="28"/>
          <w:szCs w:val="28"/>
        </w:rPr>
        <w:t>公司环境风险评价，预测最大可信事故发生时的影响范围。</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（3）</w:t>
      </w:r>
      <w:r>
        <w:rPr>
          <w:rFonts w:ascii="Times New Roman" w:hAnsi="Times New Roman" w:eastAsia="仿宋"/>
          <w:color w:val="auto"/>
          <w:sz w:val="28"/>
          <w:szCs w:val="28"/>
        </w:rPr>
        <w:t>应急物资的储备情况，针对公司危险源数量和性质应储备的应急物资品名和基本储量；</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（4）</w:t>
      </w:r>
      <w:r>
        <w:rPr>
          <w:rFonts w:ascii="Times New Roman" w:hAnsi="Times New Roman" w:eastAsia="仿宋"/>
          <w:color w:val="auto"/>
          <w:sz w:val="28"/>
          <w:szCs w:val="28"/>
        </w:rPr>
        <w:t>应急救援机构、应急物资保障、当地政府相关部门和公司内部人员的联系方式等。</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综上所述，公司突发环境事件应急预案的编制主要参照：公司内部储存的危险物质及危险废弃物的危险性、公司对突发环境事件应急救援的实际情况，编制公司突发环境事件综合应急预案。</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应急预案包括：</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（1）公司突发环境事件综合应急预案；</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（2）公司环境风险评估；</w:t>
      </w:r>
    </w:p>
    <w:p>
      <w:pPr>
        <w:adjustRightInd w:val="0"/>
        <w:snapToGrid w:val="0"/>
        <w:spacing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（3）公司应急资源调查。</w:t>
      </w:r>
    </w:p>
    <w:p>
      <w:pPr>
        <w:pStyle w:val="3"/>
        <w:adjustRightInd w:val="0"/>
        <w:snapToGrid w:val="0"/>
        <w:spacing w:line="360" w:lineRule="auto"/>
        <w:jc w:val="both"/>
        <w:rPr>
          <w:rFonts w:ascii="Times New Roman" w:hAnsi="Times New Roman"/>
          <w:color w:val="auto"/>
          <w:kern w:val="0"/>
          <w:sz w:val="28"/>
          <w:szCs w:val="28"/>
        </w:rPr>
      </w:pPr>
      <w:bookmarkStart w:id="8" w:name="_Toc29267"/>
      <w:bookmarkStart w:id="9" w:name="_Toc225244052"/>
      <w:bookmarkStart w:id="10" w:name="_Toc301018546"/>
      <w:bookmarkStart w:id="11" w:name="_Toc224965869"/>
      <w:r>
        <w:rPr>
          <w:rFonts w:hint="eastAsia" w:ascii="Times New Roman" w:hAnsi="Times New Roman"/>
          <w:color w:val="auto"/>
          <w:kern w:val="0"/>
          <w:sz w:val="28"/>
          <w:szCs w:val="28"/>
        </w:rPr>
        <w:t>五、重点内容说明</w:t>
      </w:r>
      <w:bookmarkEnd w:id="8"/>
      <w:bookmarkEnd w:id="9"/>
      <w:bookmarkEnd w:id="10"/>
      <w:bookmarkEnd w:id="11"/>
    </w:p>
    <w:p>
      <w:pPr>
        <w:adjustRightInd w:val="0"/>
        <w:snapToGrid w:val="0"/>
        <w:spacing w:line="360" w:lineRule="auto"/>
        <w:ind w:firstLine="560" w:firstLineChars="200"/>
        <w:rPr>
          <w:rFonts w:ascii="Times New Roman" w:hAnsi="Times New Roman" w:eastAsia="仿宋"/>
          <w:color w:val="auto"/>
          <w:sz w:val="28"/>
          <w:szCs w:val="28"/>
        </w:rPr>
      </w:pPr>
      <w:bookmarkStart w:id="12" w:name="_Hlt168563914"/>
      <w:bookmarkStart w:id="13" w:name="_Toc225244053"/>
      <w:bookmarkStart w:id="14" w:name="_Toc224965870"/>
      <w:r>
        <w:rPr>
          <w:rFonts w:ascii="Times New Roman" w:hAnsi="Times New Roman" w:eastAsia="仿宋"/>
          <w:color w:val="auto"/>
          <w:sz w:val="28"/>
          <w:szCs w:val="28"/>
        </w:rPr>
        <w:t>突发环境事件应急预案体现自救互救、信息报告和先期处置特点，侧重明确现场组织指挥机制、应急队伍分工、信息报告、监测预警、不同情景下的应对流程和措施、应急资源保障等内容。编制过程中结合经营性质、规模、组织体系和环境风险状况、应急资源状况，我公司在突发环境事件应急预案中重点</w:t>
      </w:r>
      <w:r>
        <w:rPr>
          <w:rFonts w:hint="eastAsia" w:ascii="Times New Roman" w:hAnsi="Times New Roman" w:eastAsia="仿宋"/>
          <w:color w:val="auto"/>
          <w:sz w:val="28"/>
          <w:szCs w:val="28"/>
        </w:rPr>
        <w:t>关注事件为火灾爆炸事故衍生环境事故，着重</w:t>
      </w:r>
      <w:r>
        <w:rPr>
          <w:rFonts w:ascii="Times New Roman" w:hAnsi="Times New Roman" w:eastAsia="仿宋"/>
          <w:color w:val="auto"/>
          <w:sz w:val="28"/>
          <w:szCs w:val="28"/>
        </w:rPr>
        <w:t>体现应急现场处置的可操作性。</w:t>
      </w:r>
      <w:bookmarkEnd w:id="12"/>
    </w:p>
    <w:bookmarkEnd w:id="13"/>
    <w:bookmarkEnd w:id="14"/>
    <w:p>
      <w:pPr>
        <w:pStyle w:val="3"/>
        <w:adjustRightInd w:val="0"/>
        <w:snapToGrid w:val="0"/>
        <w:spacing w:line="360" w:lineRule="auto"/>
        <w:jc w:val="both"/>
        <w:rPr>
          <w:rFonts w:ascii="Times New Roman" w:hAnsi="Times New Roman"/>
          <w:color w:val="auto"/>
          <w:kern w:val="0"/>
          <w:sz w:val="28"/>
          <w:szCs w:val="28"/>
        </w:rPr>
      </w:pPr>
      <w:bookmarkStart w:id="15" w:name="_Toc22201"/>
      <w:bookmarkStart w:id="16" w:name="_Toc16240"/>
      <w:bookmarkStart w:id="17" w:name="_Toc24223"/>
      <w:r>
        <w:rPr>
          <w:rFonts w:hint="eastAsia" w:ascii="Times New Roman" w:hAnsi="Times New Roman"/>
          <w:color w:val="auto"/>
          <w:kern w:val="0"/>
          <w:sz w:val="28"/>
          <w:szCs w:val="28"/>
        </w:rPr>
        <w:t>六、征求意见及采纳情况</w:t>
      </w:r>
      <w:bookmarkEnd w:id="15"/>
      <w:bookmarkEnd w:id="16"/>
      <w:bookmarkEnd w:id="17"/>
    </w:p>
    <w:p>
      <w:pPr>
        <w:autoSpaceDN w:val="0"/>
        <w:spacing w:line="360" w:lineRule="auto"/>
        <w:ind w:firstLine="560"/>
        <w:rPr>
          <w:rFonts w:ascii="Times New Roman" w:hAnsi="Times New Roman" w:eastAsia="仿宋"/>
          <w:color w:val="auto"/>
          <w:sz w:val="28"/>
          <w:szCs w:val="28"/>
        </w:rPr>
      </w:pPr>
      <w:r>
        <w:rPr>
          <w:rFonts w:ascii="Times New Roman" w:hAnsi="Times New Roman" w:eastAsia="仿宋"/>
          <w:color w:val="auto"/>
          <w:sz w:val="28"/>
          <w:szCs w:val="28"/>
        </w:rPr>
        <w:t>在应急预案编制过程中征求了项目区可能受到影响的居民和单位的意见，主要针对突发环境事件发生时居民的联系、撤离等以及对周边环境的应急环境保护，对所有征求意见积极采纳并进行了完善。</w:t>
      </w:r>
      <w:r>
        <w:rPr>
          <w:rFonts w:hint="eastAsia" w:ascii="Times New Roman" w:hAnsi="Times New Roman" w:eastAsia="仿宋"/>
          <w:color w:val="auto"/>
          <w:sz w:val="28"/>
          <w:szCs w:val="28"/>
        </w:rPr>
        <w:t>意见采纳情况见表6-1。</w:t>
      </w:r>
    </w:p>
    <w:p>
      <w:pPr>
        <w:adjustRightInd w:val="0"/>
        <w:snapToGrid w:val="0"/>
        <w:spacing w:line="360" w:lineRule="auto"/>
        <w:jc w:val="center"/>
        <w:rPr>
          <w:rFonts w:ascii="Times New Roman" w:hAnsi="Times New Roman" w:eastAsia="仿宋"/>
          <w:b/>
          <w:bCs/>
          <w:color w:val="auto"/>
          <w:sz w:val="24"/>
          <w:szCs w:val="24"/>
        </w:rPr>
      </w:pPr>
      <w:r>
        <w:rPr>
          <w:rFonts w:hint="eastAsia" w:ascii="Times New Roman" w:hAnsi="Times New Roman" w:eastAsia="仿宋"/>
          <w:b/>
          <w:bCs/>
          <w:color w:val="auto"/>
          <w:sz w:val="24"/>
          <w:szCs w:val="24"/>
        </w:rPr>
        <w:t>表6-1  应急预案编制意见采纳情况一览表</w:t>
      </w:r>
    </w:p>
    <w:tbl>
      <w:tblPr>
        <w:tblStyle w:val="8"/>
        <w:tblW w:w="858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6"/>
        <w:gridCol w:w="6044"/>
        <w:gridCol w:w="159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46" w:type="dxa"/>
            <w:tcBorders>
              <w:tl2br w:val="nil"/>
              <w:tr2bl w:val="nil"/>
            </w:tcBorders>
            <w:noWrap w:val="0"/>
            <w:vAlign w:val="center"/>
          </w:tcPr>
          <w:p>
            <w:pPr>
              <w:jc w:val="center"/>
              <w:rPr>
                <w:rFonts w:ascii="Times New Roman" w:hAnsi="Times New Roman" w:eastAsia="仿宋"/>
                <w:b/>
                <w:bCs/>
                <w:color w:val="auto"/>
                <w:sz w:val="24"/>
              </w:rPr>
            </w:pPr>
            <w:r>
              <w:rPr>
                <w:rFonts w:ascii="Times New Roman" w:hAnsi="Times New Roman" w:eastAsia="仿宋"/>
                <w:b/>
                <w:bCs/>
                <w:color w:val="auto"/>
                <w:sz w:val="24"/>
              </w:rPr>
              <w:t>序号</w:t>
            </w:r>
          </w:p>
        </w:tc>
        <w:tc>
          <w:tcPr>
            <w:tcW w:w="6044" w:type="dxa"/>
            <w:tcBorders>
              <w:tl2br w:val="nil"/>
              <w:tr2bl w:val="nil"/>
            </w:tcBorders>
            <w:noWrap w:val="0"/>
            <w:vAlign w:val="center"/>
          </w:tcPr>
          <w:p>
            <w:pPr>
              <w:jc w:val="center"/>
              <w:rPr>
                <w:rFonts w:ascii="Times New Roman" w:hAnsi="Times New Roman" w:eastAsia="仿宋"/>
                <w:b/>
                <w:bCs/>
                <w:color w:val="auto"/>
                <w:sz w:val="24"/>
              </w:rPr>
            </w:pPr>
            <w:r>
              <w:rPr>
                <w:rFonts w:ascii="Times New Roman" w:hAnsi="Times New Roman" w:eastAsia="仿宋"/>
                <w:b/>
                <w:bCs/>
                <w:color w:val="auto"/>
                <w:sz w:val="24"/>
              </w:rPr>
              <w:t>意见与建议</w:t>
            </w:r>
          </w:p>
        </w:tc>
        <w:tc>
          <w:tcPr>
            <w:tcW w:w="1590" w:type="dxa"/>
            <w:tcBorders>
              <w:tl2br w:val="nil"/>
              <w:tr2bl w:val="nil"/>
            </w:tcBorders>
            <w:noWrap w:val="0"/>
            <w:vAlign w:val="center"/>
          </w:tcPr>
          <w:p>
            <w:pPr>
              <w:jc w:val="center"/>
              <w:rPr>
                <w:rFonts w:ascii="Times New Roman" w:hAnsi="Times New Roman" w:eastAsia="仿宋"/>
                <w:b/>
                <w:bCs/>
                <w:color w:val="auto"/>
                <w:sz w:val="24"/>
              </w:rPr>
            </w:pPr>
            <w:r>
              <w:rPr>
                <w:rFonts w:ascii="Times New Roman" w:hAnsi="Times New Roman" w:eastAsia="仿宋"/>
                <w:b/>
                <w:bCs/>
                <w:color w:val="auto"/>
                <w:sz w:val="24"/>
              </w:rPr>
              <w:t>采纳情况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46" w:type="dxa"/>
            <w:tcBorders>
              <w:tl2br w:val="nil"/>
              <w:tr2bl w:val="nil"/>
            </w:tcBorders>
            <w:noWrap w:val="0"/>
            <w:vAlign w:val="center"/>
          </w:tcPr>
          <w:p>
            <w:pPr>
              <w:jc w:val="center"/>
              <w:rPr>
                <w:rFonts w:ascii="Times New Roman" w:hAnsi="Times New Roman" w:eastAsia="仿宋"/>
                <w:color w:val="auto"/>
                <w:sz w:val="24"/>
              </w:rPr>
            </w:pPr>
            <w:r>
              <w:rPr>
                <w:rFonts w:ascii="Times New Roman" w:hAnsi="Times New Roman" w:eastAsia="仿宋"/>
                <w:color w:val="auto"/>
                <w:sz w:val="24"/>
              </w:rPr>
              <w:t>1</w:t>
            </w:r>
          </w:p>
        </w:tc>
        <w:tc>
          <w:tcPr>
            <w:tcW w:w="6044" w:type="dxa"/>
            <w:tcBorders>
              <w:tl2br w:val="nil"/>
              <w:tr2bl w:val="nil"/>
            </w:tcBorders>
            <w:noWrap w:val="0"/>
            <w:vAlign w:val="center"/>
          </w:tcPr>
          <w:p>
            <w:pPr>
              <w:spacing w:line="320" w:lineRule="exact"/>
              <w:ind w:left="210"/>
              <w:jc w:val="both"/>
              <w:rPr>
                <w:rFonts w:ascii="Times New Roman" w:hAnsi="Times New Roman"/>
                <w:color w:val="auto"/>
                <w:sz w:val="24"/>
                <w:szCs w:val="24"/>
              </w:rPr>
            </w:pPr>
            <w:r>
              <w:rPr>
                <w:rFonts w:ascii="Times New Roman" w:hAnsi="Times New Roman" w:eastAsia="仿宋"/>
                <w:color w:val="auto"/>
                <w:sz w:val="24"/>
                <w:szCs w:val="24"/>
              </w:rPr>
              <w:t>应制定详细的环保安全管理制度，提高员工的安全环保意识；加强危险目标的防护工作，防止环境事件的发生；尽快制定火灾管理制度。</w:t>
            </w:r>
          </w:p>
        </w:tc>
        <w:tc>
          <w:tcPr>
            <w:tcW w:w="1590" w:type="dxa"/>
            <w:tcBorders>
              <w:tl2br w:val="nil"/>
              <w:tr2bl w:val="nil"/>
            </w:tcBorders>
            <w:noWrap w:val="0"/>
            <w:vAlign w:val="center"/>
          </w:tcPr>
          <w:p>
            <w:pPr>
              <w:jc w:val="center"/>
              <w:rPr>
                <w:rFonts w:ascii="Times New Roman" w:hAnsi="Times New Roman" w:eastAsia="仿宋"/>
                <w:color w:val="auto"/>
                <w:sz w:val="24"/>
              </w:rPr>
            </w:pPr>
            <w:r>
              <w:rPr>
                <w:rFonts w:ascii="Times New Roman" w:hAnsi="Times New Roman" w:eastAsia="仿宋"/>
                <w:color w:val="auto"/>
                <w:sz w:val="24"/>
              </w:rPr>
              <w:t>已采纳</w:t>
            </w:r>
          </w:p>
        </w:tc>
      </w:tr>
    </w:tbl>
    <w:p>
      <w:pPr>
        <w:adjustRightInd w:val="0"/>
        <w:snapToGrid w:val="0"/>
        <w:spacing w:beforeLines="50" w:line="360" w:lineRule="auto"/>
        <w:ind w:firstLine="560" w:firstLineChars="200"/>
        <w:rPr>
          <w:rFonts w:ascii="Times New Roman" w:hAnsi="Times New Roman" w:eastAsia="仿宋"/>
          <w:color w:val="auto"/>
          <w:sz w:val="28"/>
          <w:szCs w:val="28"/>
        </w:rPr>
      </w:pPr>
      <w:r>
        <w:rPr>
          <w:rFonts w:hint="eastAsia" w:ascii="Times New Roman" w:hAnsi="Times New Roman" w:eastAsia="仿宋"/>
          <w:color w:val="auto"/>
          <w:sz w:val="28"/>
          <w:szCs w:val="28"/>
        </w:rPr>
        <w:t>应急预案初步编制完成后，组织厂区相关部门负责人、环保单位相关人员及专业技术人员就应急预案内容进行推演，并依据推演结果及过程中存在的问题对应急预案进行修改完善。</w:t>
      </w:r>
    </w:p>
    <w:p>
      <w:pPr>
        <w:pStyle w:val="3"/>
        <w:adjustRightInd w:val="0"/>
        <w:snapToGrid w:val="0"/>
        <w:spacing w:line="360" w:lineRule="auto"/>
        <w:jc w:val="both"/>
        <w:rPr>
          <w:rFonts w:ascii="Times New Roman" w:hAnsi="Times New Roman"/>
          <w:color w:val="auto"/>
          <w:kern w:val="0"/>
          <w:sz w:val="28"/>
          <w:szCs w:val="28"/>
        </w:rPr>
      </w:pPr>
      <w:r>
        <w:rPr>
          <w:rFonts w:hint="eastAsia" w:ascii="Times New Roman" w:hAnsi="Times New Roman"/>
          <w:color w:val="auto"/>
          <w:kern w:val="0"/>
          <w:sz w:val="28"/>
          <w:szCs w:val="28"/>
        </w:rPr>
        <w:t>七、应急演练暴露问题及解决措施</w:t>
      </w:r>
    </w:p>
    <w:p>
      <w:pPr>
        <w:spacing w:line="360" w:lineRule="auto"/>
        <w:rPr>
          <w:rFonts w:ascii="仿宋" w:hAnsi="仿宋" w:eastAsia="仿宋" w:cs="仿宋"/>
          <w:color w:val="auto"/>
          <w:sz w:val="28"/>
          <w:szCs w:val="28"/>
        </w:rPr>
      </w:pPr>
      <w:r>
        <w:rPr>
          <w:rFonts w:ascii="Times New Roman" w:hAnsi="Times New Roman" w:eastAsia="仿宋"/>
          <w:color w:val="auto"/>
          <w:sz w:val="28"/>
          <w:szCs w:val="28"/>
        </w:rPr>
        <w:t>7.1</w:t>
      </w:r>
      <w:r>
        <w:rPr>
          <w:rFonts w:hint="eastAsia" w:ascii="仿宋" w:hAnsi="仿宋" w:eastAsia="仿宋" w:cs="仿宋"/>
          <w:color w:val="auto"/>
          <w:sz w:val="28"/>
          <w:szCs w:val="28"/>
        </w:rPr>
        <w:t>应急演练存在的问题</w:t>
      </w:r>
    </w:p>
    <w:p>
      <w:pPr>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本公司于</w:t>
      </w:r>
      <w:r>
        <w:rPr>
          <w:rFonts w:ascii="Times New Roman" w:hAnsi="Times New Roman" w:eastAsia="仿宋"/>
          <w:color w:val="auto"/>
          <w:sz w:val="28"/>
          <w:szCs w:val="28"/>
        </w:rPr>
        <w:t>202</w:t>
      </w:r>
      <w:r>
        <w:rPr>
          <w:rFonts w:hint="eastAsia" w:ascii="Times New Roman" w:hAnsi="Times New Roman" w:eastAsia="仿宋"/>
          <w:color w:val="auto"/>
          <w:sz w:val="28"/>
          <w:szCs w:val="28"/>
          <w:lang w:val="en-US" w:eastAsia="zh-CN"/>
        </w:rPr>
        <w:t>2</w:t>
      </w:r>
      <w:r>
        <w:rPr>
          <w:rFonts w:hint="eastAsia" w:ascii="仿宋" w:hAnsi="仿宋" w:eastAsia="仿宋" w:cs="仿宋"/>
          <w:color w:val="auto"/>
          <w:sz w:val="28"/>
          <w:szCs w:val="28"/>
        </w:rPr>
        <w:t>年</w:t>
      </w:r>
      <w:r>
        <w:rPr>
          <w:rFonts w:hint="eastAsia" w:ascii="Times New Roman" w:hAnsi="Times New Roman" w:eastAsia="仿宋"/>
          <w:color w:val="auto"/>
          <w:sz w:val="28"/>
          <w:szCs w:val="28"/>
          <w:lang w:val="en-US" w:eastAsia="zh-CN"/>
        </w:rPr>
        <w:t>8</w:t>
      </w:r>
      <w:r>
        <w:rPr>
          <w:rFonts w:hint="eastAsia" w:ascii="仿宋" w:hAnsi="仿宋" w:eastAsia="仿宋" w:cs="仿宋"/>
          <w:color w:val="auto"/>
          <w:sz w:val="28"/>
          <w:szCs w:val="28"/>
        </w:rPr>
        <w:t>月</w:t>
      </w:r>
      <w:r>
        <w:rPr>
          <w:rFonts w:hint="eastAsia" w:ascii="Times New Roman" w:hAnsi="Times New Roman" w:eastAsia="仿宋"/>
          <w:color w:val="auto"/>
          <w:sz w:val="28"/>
          <w:szCs w:val="28"/>
          <w:lang w:val="en-US" w:eastAsia="zh-CN"/>
        </w:rPr>
        <w:t>15</w:t>
      </w:r>
      <w:r>
        <w:rPr>
          <w:rFonts w:hint="eastAsia" w:ascii="仿宋" w:hAnsi="仿宋" w:eastAsia="仿宋" w:cs="仿宋"/>
          <w:color w:val="auto"/>
          <w:sz w:val="28"/>
          <w:szCs w:val="28"/>
        </w:rPr>
        <w:t>日，开展突发环境事件应急演练，主要针对</w:t>
      </w:r>
      <w:r>
        <w:rPr>
          <w:rFonts w:hint="eastAsia" w:ascii="仿宋" w:hAnsi="仿宋" w:eastAsia="仿宋" w:cs="仿宋"/>
          <w:color w:val="auto"/>
          <w:sz w:val="28"/>
          <w:szCs w:val="28"/>
          <w:lang w:val="en-US" w:eastAsia="zh-CN"/>
        </w:rPr>
        <w:t>丙烷、废机油、废润滑油及废乳化液泄漏遇明火引起的</w:t>
      </w:r>
      <w:r>
        <w:rPr>
          <w:rFonts w:hint="eastAsia" w:ascii="仿宋" w:hAnsi="仿宋" w:eastAsia="仿宋" w:cs="仿宋"/>
          <w:color w:val="auto"/>
          <w:sz w:val="28"/>
          <w:szCs w:val="28"/>
        </w:rPr>
        <w:t>突发火灾事故，考验公司应对突发环境事件的应急能力。通过演练暴露出以下问题。</w:t>
      </w:r>
    </w:p>
    <w:p>
      <w:pPr>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w:t>
      </w:r>
      <w:r>
        <w:rPr>
          <w:rFonts w:ascii="Times New Roman" w:hAnsi="Times New Roman" w:eastAsia="仿宋"/>
          <w:color w:val="auto"/>
          <w:sz w:val="28"/>
          <w:szCs w:val="28"/>
        </w:rPr>
        <w:t>1</w:t>
      </w:r>
      <w:r>
        <w:rPr>
          <w:rFonts w:hint="eastAsia" w:ascii="仿宋" w:hAnsi="仿宋" w:eastAsia="仿宋" w:cs="仿宋"/>
          <w:color w:val="auto"/>
          <w:sz w:val="28"/>
          <w:szCs w:val="28"/>
        </w:rPr>
        <w:t>）信息沟通不畅，现场第一发现人员未及时上报事故情况，导致应急响应缓慢。</w:t>
      </w:r>
    </w:p>
    <w:p>
      <w:pPr>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w:t>
      </w:r>
      <w:r>
        <w:rPr>
          <w:rFonts w:ascii="Times New Roman" w:hAnsi="Times New Roman" w:eastAsia="仿宋"/>
          <w:color w:val="auto"/>
          <w:sz w:val="28"/>
          <w:szCs w:val="28"/>
        </w:rPr>
        <w:t>2</w:t>
      </w:r>
      <w:r>
        <w:rPr>
          <w:rFonts w:hint="eastAsia" w:ascii="仿宋" w:hAnsi="仿宋" w:eastAsia="仿宋" w:cs="仿宋"/>
          <w:color w:val="auto"/>
          <w:sz w:val="28"/>
          <w:szCs w:val="28"/>
        </w:rPr>
        <w:t>）本人责任认定不清，导致发生事故后，无人员叫停正在作业的工序。针对以上暴露出的问题，我公司认真总结，重新梳理各责任人，明确处理流程及上报程序，在后期演练过程中将重点关注。</w:t>
      </w:r>
    </w:p>
    <w:p>
      <w:pPr>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w:t>
      </w:r>
      <w:r>
        <w:rPr>
          <w:rFonts w:ascii="Times New Roman" w:hAnsi="Times New Roman" w:eastAsia="仿宋"/>
          <w:color w:val="auto"/>
          <w:sz w:val="28"/>
          <w:szCs w:val="28"/>
        </w:rPr>
        <w:t>3</w:t>
      </w:r>
      <w:r>
        <w:rPr>
          <w:rFonts w:hint="eastAsia" w:ascii="仿宋" w:hAnsi="仿宋" w:eastAsia="仿宋" w:cs="仿宋"/>
          <w:color w:val="auto"/>
          <w:sz w:val="28"/>
          <w:szCs w:val="28"/>
        </w:rPr>
        <w:t>）组织过程有偏差。演练结束时，有的小组没有清点在岗人数，没有汇报在岗人员情况。应急装备的投入不足，没有满足事故状态下的应急需要。</w:t>
      </w:r>
    </w:p>
    <w:p>
      <w:pPr>
        <w:spacing w:line="360" w:lineRule="auto"/>
        <w:ind w:firstLine="560" w:firstLineChars="200"/>
        <w:rPr>
          <w:rFonts w:ascii="仿宋" w:hAnsi="仿宋" w:eastAsia="仿宋" w:cs="仿宋"/>
          <w:color w:val="auto"/>
          <w:sz w:val="28"/>
          <w:szCs w:val="28"/>
        </w:rPr>
      </w:pPr>
      <w:r>
        <w:rPr>
          <w:rFonts w:ascii="Times New Roman" w:hAnsi="Times New Roman" w:eastAsia="仿宋"/>
          <w:color w:val="auto"/>
          <w:sz w:val="28"/>
          <w:szCs w:val="28"/>
        </w:rPr>
        <w:t>7.2</w:t>
      </w:r>
      <w:r>
        <w:rPr>
          <w:rFonts w:hint="eastAsia" w:ascii="仿宋" w:hAnsi="仿宋" w:eastAsia="仿宋" w:cs="仿宋"/>
          <w:color w:val="auto"/>
          <w:sz w:val="28"/>
          <w:szCs w:val="28"/>
        </w:rPr>
        <w:t>解决方案</w:t>
      </w:r>
    </w:p>
    <w:p>
      <w:pPr>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w:t>
      </w:r>
      <w:r>
        <w:rPr>
          <w:rFonts w:ascii="Times New Roman" w:hAnsi="Times New Roman" w:eastAsia="仿宋"/>
          <w:color w:val="auto"/>
          <w:sz w:val="28"/>
          <w:szCs w:val="28"/>
        </w:rPr>
        <w:t>1</w:t>
      </w:r>
      <w:r>
        <w:rPr>
          <w:rFonts w:hint="eastAsia" w:ascii="仿宋" w:hAnsi="仿宋" w:eastAsia="仿宋" w:cs="仿宋"/>
          <w:color w:val="auto"/>
          <w:sz w:val="28"/>
          <w:szCs w:val="28"/>
        </w:rPr>
        <w:t>）引用同行业环境污染事件发生的相关环境污染事件案例进行员工的安全环保教育培训，不断强化人们的安全意识。在学习案例时，一定做到严肃认真，入心、入脑，从中吸取事故的经验和教训，并落实到实际行动中，使员工在应急演练中能够条理清楚，严肃认真，增强意识。</w:t>
      </w:r>
    </w:p>
    <w:p>
      <w:pPr>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w:t>
      </w:r>
      <w:r>
        <w:rPr>
          <w:rFonts w:ascii="Times New Roman" w:hAnsi="Times New Roman" w:eastAsia="仿宋"/>
          <w:color w:val="auto"/>
          <w:sz w:val="28"/>
          <w:szCs w:val="28"/>
        </w:rPr>
        <w:t>2</w:t>
      </w:r>
      <w:r>
        <w:rPr>
          <w:rFonts w:hint="eastAsia" w:ascii="仿宋" w:hAnsi="仿宋" w:eastAsia="仿宋" w:cs="仿宋"/>
          <w:color w:val="auto"/>
          <w:sz w:val="28"/>
          <w:szCs w:val="28"/>
        </w:rPr>
        <w:t>）要有针对性地组织一些专项技能培训演练，确保每一位在岗人员均会使用，并在日常的检查中随时提问并现场考核职工佩带防护器材、消防器材等的操作技能。</w:t>
      </w:r>
    </w:p>
    <w:p>
      <w:pPr>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w:t>
      </w:r>
      <w:r>
        <w:rPr>
          <w:rFonts w:ascii="Times New Roman" w:hAnsi="Times New Roman" w:eastAsia="仿宋"/>
          <w:color w:val="auto"/>
          <w:sz w:val="28"/>
          <w:szCs w:val="28"/>
        </w:rPr>
        <w:t>3</w:t>
      </w:r>
      <w:r>
        <w:rPr>
          <w:rFonts w:hint="eastAsia" w:ascii="仿宋" w:hAnsi="仿宋" w:eastAsia="仿宋" w:cs="仿宋"/>
          <w:color w:val="auto"/>
          <w:sz w:val="28"/>
          <w:szCs w:val="28"/>
        </w:rPr>
        <w:t>）完善应急演练工作，不能缺少，保证实际应急救援时工作全部落实到位。同时对应急救援物资和设备进行补充，不定期对应急物资和设备进行检查、更新，满足应急救援所需。</w:t>
      </w:r>
    </w:p>
    <w:p>
      <w:pPr>
        <w:pStyle w:val="3"/>
        <w:adjustRightInd w:val="0"/>
        <w:snapToGrid w:val="0"/>
        <w:spacing w:line="360" w:lineRule="auto"/>
        <w:jc w:val="both"/>
        <w:rPr>
          <w:rFonts w:ascii="Times New Roman" w:hAnsi="Times New Roman"/>
          <w:color w:val="auto"/>
          <w:kern w:val="0"/>
          <w:sz w:val="28"/>
          <w:szCs w:val="28"/>
        </w:rPr>
      </w:pPr>
      <w:bookmarkStart w:id="18" w:name="_Toc20884"/>
      <w:bookmarkStart w:id="19" w:name="_Toc1081"/>
      <w:r>
        <w:rPr>
          <w:rFonts w:hint="eastAsia" w:ascii="Times New Roman" w:hAnsi="Times New Roman"/>
          <w:color w:val="auto"/>
          <w:kern w:val="0"/>
          <w:sz w:val="28"/>
          <w:szCs w:val="28"/>
        </w:rPr>
        <w:t>八</w:t>
      </w:r>
      <w:r>
        <w:rPr>
          <w:rFonts w:ascii="Times New Roman" w:hAnsi="Times New Roman"/>
          <w:color w:val="auto"/>
          <w:kern w:val="0"/>
          <w:sz w:val="28"/>
          <w:szCs w:val="28"/>
        </w:rPr>
        <w:t>、评审情况说明</w:t>
      </w:r>
      <w:bookmarkEnd w:id="18"/>
      <w:bookmarkEnd w:id="19"/>
    </w:p>
    <w:p>
      <w:pPr>
        <w:ind w:firstLine="573"/>
        <w:rPr>
          <w:rFonts w:ascii="Times New Roman" w:hAnsi="Times New Roman" w:eastAsia="仿宋"/>
          <w:color w:val="auto"/>
          <w:sz w:val="28"/>
          <w:szCs w:val="28"/>
        </w:rPr>
      </w:pPr>
      <w:r>
        <w:rPr>
          <w:rFonts w:ascii="Times New Roman" w:hAnsi="Times New Roman" w:eastAsia="仿宋"/>
          <w:color w:val="auto"/>
          <w:sz w:val="28"/>
          <w:szCs w:val="28"/>
        </w:rPr>
        <w:t>202</w:t>
      </w:r>
      <w:r>
        <w:rPr>
          <w:rFonts w:hint="eastAsia" w:ascii="Times New Roman" w:hAnsi="Times New Roman" w:eastAsia="仿宋"/>
          <w:color w:val="auto"/>
          <w:sz w:val="28"/>
          <w:szCs w:val="28"/>
          <w:lang w:val="en-US" w:eastAsia="zh-CN"/>
        </w:rPr>
        <w:t>2</w:t>
      </w:r>
      <w:r>
        <w:rPr>
          <w:rFonts w:ascii="Times New Roman" w:hAnsi="Times New Roman" w:eastAsia="仿宋"/>
          <w:color w:val="auto"/>
          <w:sz w:val="28"/>
          <w:szCs w:val="28"/>
        </w:rPr>
        <w:t>年</w:t>
      </w:r>
      <w:r>
        <w:rPr>
          <w:rFonts w:hint="eastAsia" w:ascii="Times New Roman" w:hAnsi="Times New Roman" w:eastAsia="仿宋"/>
          <w:color w:val="auto"/>
          <w:sz w:val="28"/>
          <w:szCs w:val="28"/>
          <w:lang w:val="en-US" w:eastAsia="zh-CN"/>
        </w:rPr>
        <w:t>9</w:t>
      </w:r>
      <w:r>
        <w:rPr>
          <w:rFonts w:ascii="Times New Roman" w:hAnsi="Times New Roman" w:eastAsia="仿宋"/>
          <w:color w:val="auto"/>
          <w:sz w:val="28"/>
          <w:szCs w:val="28"/>
        </w:rPr>
        <w:t>月，</w:t>
      </w:r>
      <w:r>
        <w:rPr>
          <w:rFonts w:hint="eastAsia" w:ascii="Times New Roman" w:hAnsi="Times New Roman" w:eastAsia="仿宋"/>
          <w:color w:val="auto"/>
          <w:sz w:val="28"/>
          <w:szCs w:val="28"/>
          <w:lang w:eastAsia="zh-CN"/>
        </w:rPr>
        <w:t>九冶钢结构有限公司</w:t>
      </w:r>
      <w:r>
        <w:rPr>
          <w:rFonts w:ascii="Times New Roman" w:hAnsi="Times New Roman" w:eastAsia="仿宋"/>
          <w:color w:val="auto"/>
          <w:sz w:val="28"/>
          <w:szCs w:val="28"/>
        </w:rPr>
        <w:t>邀请三位专家对预案进行了评审。评估结论为：</w:t>
      </w:r>
    </w:p>
    <w:p>
      <w:pPr>
        <w:ind w:firstLine="573"/>
        <w:rPr>
          <w:rFonts w:ascii="Times New Roman" w:hAnsi="Times New Roman" w:eastAsia="仿宋"/>
          <w:color w:val="auto"/>
          <w:sz w:val="28"/>
          <w:szCs w:val="28"/>
        </w:rPr>
      </w:pPr>
      <w:r>
        <w:rPr>
          <w:rFonts w:ascii="Times New Roman" w:hAnsi="Times New Roman" w:eastAsia="仿宋"/>
          <w:color w:val="auto"/>
          <w:sz w:val="28"/>
          <w:szCs w:val="28"/>
        </w:rPr>
        <w:t>该预案章节结构齐全，格式规范，文字简洁，能认真梳理本单位实际存在的各个环境风险源，针对本单位的实际情况，制定的针对各个环境风险源的应急响应及处理处置措施也比较切实可行，原则同意本突发环境事件应急预案通过评审。</w:t>
      </w:r>
    </w:p>
    <w:p>
      <w:pPr>
        <w:ind w:firstLine="573"/>
        <w:rPr>
          <w:rFonts w:ascii="Times New Roman" w:hAnsi="Times New Roman" w:eastAsia="仿宋"/>
          <w:color w:val="auto"/>
          <w:sz w:val="28"/>
          <w:szCs w:val="28"/>
        </w:rPr>
      </w:pPr>
      <w:r>
        <w:rPr>
          <w:rFonts w:ascii="Times New Roman" w:hAnsi="Times New Roman" w:eastAsia="仿宋"/>
          <w:color w:val="auto"/>
          <w:sz w:val="28"/>
          <w:szCs w:val="28"/>
        </w:rPr>
        <w:t>公司根据修改意见对应急预案进行修改完善，送</w:t>
      </w:r>
      <w:r>
        <w:rPr>
          <w:rFonts w:hint="eastAsia" w:ascii="Times New Roman" w:hAnsi="Times New Roman" w:eastAsia="仿宋"/>
          <w:color w:val="auto"/>
          <w:sz w:val="28"/>
          <w:szCs w:val="28"/>
          <w:lang w:val="en-US" w:eastAsia="zh-CN"/>
        </w:rPr>
        <w:t>西咸新区秦汉新城</w:t>
      </w:r>
      <w:r>
        <w:rPr>
          <w:rFonts w:hint="eastAsia" w:ascii="Times New Roman" w:hAnsi="Times New Roman" w:eastAsia="仿宋"/>
          <w:color w:val="auto"/>
          <w:sz w:val="28"/>
          <w:szCs w:val="28"/>
        </w:rPr>
        <w:t>生态环境局</w:t>
      </w:r>
      <w:r>
        <w:rPr>
          <w:rFonts w:ascii="Times New Roman" w:hAnsi="Times New Roman" w:eastAsia="仿宋"/>
          <w:color w:val="auto"/>
          <w:sz w:val="28"/>
          <w:szCs w:val="28"/>
        </w:rPr>
        <w:t>。</w:t>
      </w:r>
    </w:p>
    <w:p/>
    <w:sectPr>
      <w:footerReference r:id="rId9"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西文正文">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中文正文">
    <w:altName w:val="AMGD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隶书">
    <w:panose1 w:val="0201050906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535"/>
        <w:tab w:val="clear" w:pos="4153"/>
      </w:tabs>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535"/>
        <w:tab w:val="clear" w:pos="4153"/>
      </w:tabs>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1"/>
        <w:left w:val="none" w:color="auto" w:sz="0" w:space="4"/>
        <w:bottom w:val="none" w:color="auto" w:sz="0" w:space="1"/>
        <w:right w:val="none" w:color="auto" w:sz="0" w:space="4"/>
      </w:pBdr>
      <w:rPr>
        <w:rFonts w:ascii="Times New Roman" w:hAnsi="Times New Roman" w:eastAsia="仿宋"/>
        <w:snapToGrid w:val="0"/>
        <w:spacing w:val="0"/>
        <w:kern w:val="0"/>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3E537E"/>
    <w:rsid w:val="36CC466F"/>
    <w:rsid w:val="373323C6"/>
    <w:rsid w:val="422110A4"/>
    <w:rsid w:val="4ECD2394"/>
    <w:rsid w:val="6D3E537E"/>
    <w:rsid w:val="79BA3D51"/>
    <w:rsid w:val="7AFE5047"/>
    <w:rsid w:val="7FB979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240" w:lineRule="auto"/>
      <w:jc w:val="center"/>
      <w:outlineLvl w:val="0"/>
    </w:pPr>
    <w:rPr>
      <w:rFonts w:eastAsia="仿宋" w:asciiTheme="minorAscii" w:hAnsiTheme="minorAscii"/>
      <w:b/>
      <w:kern w:val="44"/>
      <w:sz w:val="30"/>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unhideWhenUsed/>
    <w:qFormat/>
    <w:uiPriority w:val="99"/>
    <w:pPr>
      <w:jc w:val="center"/>
    </w:pPr>
    <w:rPr>
      <w:rFonts w:eastAsia="华文新魏"/>
      <w:sz w:val="72"/>
      <w:szCs w:val="7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eastAsia="隶书"/>
      <w:spacing w:val="20"/>
    </w:rPr>
  </w:style>
  <w:style w:type="paragraph" w:styleId="7">
    <w:name w:val="toc 1"/>
    <w:basedOn w:val="1"/>
    <w:next w:val="1"/>
    <w:qFormat/>
    <w:uiPriority w:val="39"/>
    <w:pPr>
      <w:jc w:val="left"/>
    </w:pPr>
    <w:rPr>
      <w:b/>
      <w:caps/>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2022-08-29T03:08:00Z</dcterms:created>
  <dc:creator>L</dc:creator>
  <cp:lastModifiedBy>L</cp:lastModifiedBy>
  <dcterms:modified xsi:type="dcterms:W3CDTF">2022-10-26T10:07:15Z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D48F4D42CE9B4E259D7B19F3DFE52582</vt:lpwstr>
  </property>
</Properties>
</file>